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2456" w14:textId="6B3F121E" w:rsidR="009624B1" w:rsidRPr="005B7337" w:rsidRDefault="009624B1" w:rsidP="0067787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Na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36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stav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1</w:t>
      </w:r>
      <w:r w:rsidR="00446C6B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Zakona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zaštiti</w:t>
      </w:r>
      <w:proofErr w:type="spellEnd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("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Službeni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list CG", br. </w:t>
      </w:r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72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/19) </w:t>
      </w:r>
      <w:proofErr w:type="spellStart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Odobrenja</w:t>
      </w:r>
      <w:proofErr w:type="spellEnd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Centralne</w:t>
      </w:r>
      <w:proofErr w:type="spellEnd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banke</w:t>
      </w:r>
      <w:proofErr w:type="spellEnd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Crne</w:t>
      </w:r>
      <w:proofErr w:type="spellEnd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Gore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br.</w:t>
      </w:r>
      <w:r w:rsidR="00693DA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0102-7774-2/2020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od</w:t>
      </w:r>
      <w:r w:rsidR="00693DA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29.</w:t>
      </w:r>
      <w:r w:rsidR="000C0D4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18B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</w:t>
      </w:r>
      <w:r w:rsidR="000C0D4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ecembra</w:t>
      </w:r>
      <w:proofErr w:type="spellEnd"/>
      <w:r w:rsidR="000C0D4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693DA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2020. </w:t>
      </w:r>
      <w:proofErr w:type="spellStart"/>
      <w:r w:rsidR="00693DA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Upravni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odbor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</w:t>
      </w:r>
      <w:r w:rsidR="007A5CCE" w:rsidRPr="00334D4F">
        <w:rPr>
          <w:rFonts w:ascii="Arial" w:eastAsiaTheme="minorEastAsia" w:hAnsi="Arial" w:cs="Arial"/>
          <w:sz w:val="24"/>
          <w:szCs w:val="24"/>
          <w:lang w:eastAsia="en-GB"/>
        </w:rPr>
        <w:t>on</w:t>
      </w:r>
      <w:r w:rsidR="00334D4F" w:rsidRPr="00334D4F">
        <w:rPr>
          <w:rFonts w:ascii="Arial" w:eastAsiaTheme="minorEastAsia" w:hAnsi="Arial" w:cs="Arial"/>
          <w:sz w:val="24"/>
          <w:szCs w:val="24"/>
          <w:lang w:eastAsia="en-GB"/>
        </w:rPr>
        <w:t>d</w:t>
      </w:r>
      <w:r w:rsidR="007A5CCE" w:rsidRPr="00334D4F">
        <w:rPr>
          <w:rFonts w:ascii="Arial" w:eastAsiaTheme="minorEastAsia" w:hAnsi="Arial" w:cs="Arial"/>
          <w:sz w:val="24"/>
          <w:szCs w:val="24"/>
          <w:lang w:eastAsia="en-GB"/>
        </w:rPr>
        <w:t xml:space="preserve">a 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zaštitu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7C553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>na</w:t>
      </w:r>
      <w:proofErr w:type="spellEnd"/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>sjednici</w:t>
      </w:r>
      <w:proofErr w:type="spellEnd"/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 xml:space="preserve"> </w:t>
      </w:r>
      <w:r w:rsid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>od</w:t>
      </w:r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 xml:space="preserve"> </w:t>
      </w:r>
      <w:r w:rsid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>30</w:t>
      </w:r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 xml:space="preserve">. </w:t>
      </w:r>
      <w:proofErr w:type="spellStart"/>
      <w:r w:rsid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>decembra</w:t>
      </w:r>
      <w:proofErr w:type="spellEnd"/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 xml:space="preserve"> 2020. </w:t>
      </w:r>
      <w:proofErr w:type="spellStart"/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>godine</w:t>
      </w:r>
      <w:proofErr w:type="spellEnd"/>
      <w:r w:rsidR="007C5533" w:rsidRPr="007C5533"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  <w:t>,</w:t>
      </w:r>
      <w:r w:rsidR="00C9164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718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utvrdio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</w:t>
      </w:r>
    </w:p>
    <w:p w14:paraId="1AC3C026" w14:textId="38E780B8" w:rsidR="009624B1" w:rsidRPr="005B7337" w:rsidRDefault="009624B1" w:rsidP="007A5CC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bookmarkStart w:id="0" w:name="_Hlk59436444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METODOLOGIJ</w:t>
      </w:r>
      <w:r w:rsidR="007F718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U</w:t>
      </w:r>
    </w:p>
    <w:p w14:paraId="7871BC12" w14:textId="7BEB41E7" w:rsidR="009624B1" w:rsidRPr="005B7337" w:rsidRDefault="007A5CCE" w:rsidP="007A5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ZA OBRAČUN PREMIJE</w:t>
      </w:r>
      <w:r w:rsidR="00BF1A3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NA BAZI RIZIKA POJEDINE KREDITNE INSTITUCIJE</w:t>
      </w:r>
    </w:p>
    <w:bookmarkEnd w:id="0"/>
    <w:p w14:paraId="3E48EB2F" w14:textId="5A494C92" w:rsidR="009624B1" w:rsidRPr="005B7337" w:rsidRDefault="009624B1" w:rsidP="009624B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I. </w:t>
      </w:r>
      <w:r w:rsidRPr="0000295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OSNOVNE</w:t>
      </w: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ODREDBE</w:t>
      </w:r>
    </w:p>
    <w:p w14:paraId="0E73529A" w14:textId="77777777" w:rsidR="009624B1" w:rsidRPr="005B7337" w:rsidRDefault="009624B1" w:rsidP="009624B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Predmet</w:t>
      </w:r>
      <w:proofErr w:type="spellEnd"/>
    </w:p>
    <w:p w14:paraId="7934A054" w14:textId="77777777" w:rsidR="009624B1" w:rsidRPr="005B7337" w:rsidRDefault="009624B1" w:rsidP="009624B1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1</w:t>
      </w:r>
    </w:p>
    <w:p w14:paraId="1CBC6A2C" w14:textId="64C18027" w:rsidR="007A5CCE" w:rsidRDefault="009624B1" w:rsidP="0067787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1621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utvrđuje</w:t>
      </w:r>
      <w:proofErr w:type="spellEnd"/>
      <w:r w:rsidR="0091621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</w:t>
      </w:r>
      <w:r w:rsidR="006C424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r w:rsidR="0091621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55BB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stepena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1621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="0091621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stitucije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sistemu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zaštite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val="sr-Latn-ME" w:eastAsia="en-GB"/>
        </w:rPr>
        <w:t>z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ita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u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Crnoj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Gori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potrebe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55BB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zaštitu</w:t>
      </w:r>
      <w:proofErr w:type="spellEnd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bazi</w:t>
      </w:r>
      <w:proofErr w:type="spellEnd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8771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="0078771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78771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7A5C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867F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članice</w:t>
      </w:r>
      <w:proofErr w:type="spellEnd"/>
      <w:r w:rsidR="00A867F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867F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A867F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867F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zaštite</w:t>
      </w:r>
      <w:proofErr w:type="spellEnd"/>
      <w:r w:rsidR="00A867F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867F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6E5E4DA7" w14:textId="77777777" w:rsidR="00E80352" w:rsidRPr="005B7337" w:rsidRDefault="00E80352" w:rsidP="0067787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325EAC15" w14:textId="2F8BEC75" w:rsidR="009211AF" w:rsidRPr="005B7337" w:rsidRDefault="00787712" w:rsidP="0067787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etodologij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određuju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cilјevi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F7E21" w:rsidRPr="00002958">
        <w:rPr>
          <w:rFonts w:ascii="Arial" w:eastAsiaTheme="minorEastAsia" w:hAnsi="Arial" w:cs="Arial"/>
          <w:sz w:val="24"/>
          <w:szCs w:val="24"/>
          <w:lang w:eastAsia="en-GB"/>
        </w:rPr>
        <w:t>načela</w:t>
      </w:r>
      <w:proofErr w:type="spellEnd"/>
      <w:r w:rsidR="005F7E21" w:rsidRPr="0000295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kojima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rukovodi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 za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š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titu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(u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daljem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kstu</w:t>
      </w:r>
      <w:proofErr w:type="spellEnd"/>
      <w:r w:rsidR="00D4456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Fond)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prilikom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bazi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9211A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23C7C6FD" w14:textId="5C06F94D" w:rsidR="009624B1" w:rsidRPr="005B7337" w:rsidRDefault="009624B1" w:rsidP="009624B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Značenj</w:t>
      </w:r>
      <w:r w:rsidR="0024257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izraza</w:t>
      </w:r>
      <w:proofErr w:type="spellEnd"/>
    </w:p>
    <w:p w14:paraId="4229AB01" w14:textId="77777777" w:rsidR="009624B1" w:rsidRPr="005B7337" w:rsidRDefault="009624B1" w:rsidP="009624B1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2</w:t>
      </w:r>
    </w:p>
    <w:p w14:paraId="5392300F" w14:textId="38525B4D" w:rsidR="009624B1" w:rsidRPr="005B7337" w:rsidRDefault="009624B1" w:rsidP="009624B1">
      <w:pPr>
        <w:autoSpaceDE w:val="0"/>
        <w:autoSpaceDN w:val="0"/>
        <w:adjustRightInd w:val="0"/>
        <w:spacing w:before="60" w:after="60" w:line="240" w:lineRule="auto"/>
        <w:ind w:left="283" w:hanging="283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Izrazi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upotrijebljeni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ovoj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imaju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sljedeća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značenja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p w14:paraId="001DC0A1" w14:textId="755E6B1D" w:rsidR="00D01136" w:rsidRPr="005B7337" w:rsidRDefault="00C040DE" w:rsidP="001865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</w:t>
      </w:r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remija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BD1E44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zaštitu</w:t>
      </w:r>
      <w:proofErr w:type="spellEnd"/>
      <w:r w:rsidR="00BD1E44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D1E44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depozita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koju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110A6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je</w:t>
      </w:r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10A6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dužna</w:t>
      </w:r>
      <w:proofErr w:type="spellEnd"/>
      <w:r w:rsidR="00110A6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="00110A6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plaća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zaštitu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110A6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zasniva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iznosu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A38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</w:t>
      </w:r>
      <w:r w:rsidR="00110A6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epenu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Fond </w:t>
      </w:r>
      <w:proofErr w:type="spellStart"/>
      <w:r w:rsidR="00227B2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obračunava</w:t>
      </w:r>
      <w:proofErr w:type="spellEnd"/>
      <w:r w:rsidR="00227B2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27B2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227B2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27B2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naplaćuje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>redovn</w:t>
      </w:r>
      <w:r w:rsidR="007D4A2D" w:rsidRPr="005B7337">
        <w:rPr>
          <w:rFonts w:ascii="Arial" w:eastAsiaTheme="minorEastAsia" w:hAnsi="Arial" w:cs="Arial"/>
          <w:sz w:val="24"/>
          <w:szCs w:val="24"/>
          <w:lang w:eastAsia="en-GB"/>
        </w:rPr>
        <w:t>u</w:t>
      </w:r>
      <w:proofErr w:type="spellEnd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>premij</w:t>
      </w:r>
      <w:r w:rsidR="007D4A2D" w:rsidRPr="005B7337">
        <w:rPr>
          <w:rFonts w:ascii="Arial" w:eastAsiaTheme="minorEastAsia" w:hAnsi="Arial" w:cs="Arial"/>
          <w:sz w:val="24"/>
          <w:szCs w:val="24"/>
          <w:lang w:eastAsia="en-GB"/>
        </w:rPr>
        <w:t>u</w:t>
      </w:r>
      <w:proofErr w:type="spellEnd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>vanredn</w:t>
      </w:r>
      <w:r w:rsidR="007D4A2D" w:rsidRPr="005B7337">
        <w:rPr>
          <w:rFonts w:ascii="Arial" w:eastAsiaTheme="minorEastAsia" w:hAnsi="Arial" w:cs="Arial"/>
          <w:sz w:val="24"/>
          <w:szCs w:val="24"/>
          <w:lang w:eastAsia="en-GB"/>
        </w:rPr>
        <w:t>u</w:t>
      </w:r>
      <w:proofErr w:type="spellEnd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>premij</w:t>
      </w:r>
      <w:r w:rsidR="007D4A2D" w:rsidRPr="005B7337">
        <w:rPr>
          <w:rFonts w:ascii="Arial" w:eastAsiaTheme="minorEastAsia" w:hAnsi="Arial" w:cs="Arial"/>
          <w:sz w:val="24"/>
          <w:szCs w:val="24"/>
          <w:lang w:eastAsia="en-GB"/>
        </w:rPr>
        <w:t>u</w:t>
      </w:r>
      <w:proofErr w:type="spellEnd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u </w:t>
      </w:r>
      <w:proofErr w:type="spellStart"/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>skladu</w:t>
      </w:r>
      <w:proofErr w:type="spellEnd"/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>sa</w:t>
      </w:r>
      <w:proofErr w:type="spellEnd"/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>ovom</w:t>
      </w:r>
      <w:proofErr w:type="spellEnd"/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87712" w:rsidRPr="005B7337">
        <w:rPr>
          <w:rFonts w:ascii="Arial" w:eastAsiaTheme="minorEastAsia" w:hAnsi="Arial" w:cs="Arial"/>
          <w:sz w:val="24"/>
          <w:szCs w:val="24"/>
          <w:lang w:eastAsia="en-GB"/>
        </w:rPr>
        <w:t>metodologojim</w:t>
      </w:r>
      <w:proofErr w:type="spellEnd"/>
      <w:r w:rsidR="007F0246" w:rsidRPr="005B7337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3D92D5CF" w14:textId="47D8596D" w:rsidR="00D01136" w:rsidRPr="005B7337" w:rsidRDefault="00C040DE" w:rsidP="001865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</w:t>
      </w:r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remijska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osnovica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prosječan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10A6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prethodno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tromjesečje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a koji se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kao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prosjek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zadnjeg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dana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svakog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mjeseca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tromjesečju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26F840FD" w14:textId="3AE377C5" w:rsidR="00D01136" w:rsidRPr="005B7337" w:rsidRDefault="00C040DE" w:rsidP="001865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</w:t>
      </w:r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remijska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stopa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iznosi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1,2%</w:t>
      </w:r>
      <w:r w:rsidR="00724B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24B50" w:rsidRP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</w:t>
      </w:r>
      <w:r w:rsidR="00724B50" w:rsidRPr="00002958">
        <w:rPr>
          <w:rFonts w:ascii="Arial" w:eastAsiaTheme="minorEastAsia" w:hAnsi="Arial" w:cs="Arial"/>
          <w:color w:val="000000"/>
          <w:sz w:val="24"/>
          <w:szCs w:val="24"/>
          <w:lang w:val="sr-Latn-ME" w:eastAsia="en-GB"/>
        </w:rPr>
        <w:t>šnje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primjenjuje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premijsku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osnovicu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iznosu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od ¼ </w:t>
      </w:r>
      <w:proofErr w:type="spellStart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ili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0,</w:t>
      </w:r>
      <w:r w:rsidR="008A749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30</w:t>
      </w:r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%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tromjesečno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60E438E5" w14:textId="7FA92C95" w:rsidR="007E6F7A" w:rsidRPr="005B7337" w:rsidRDefault="007E6F7A" w:rsidP="007E6F7A">
      <w:pPr>
        <w:pStyle w:val="ListParagraph"/>
        <w:numPr>
          <w:ilvl w:val="0"/>
          <w:numId w:val="24"/>
        </w:numPr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Kategorije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utvrdjuju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: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kapital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likvidnost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izvori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finansiranja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kvalitet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imovine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model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upravljanje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mogući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gubi</w:t>
      </w:r>
      <w:r w:rsidR="005079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tak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Fond. </w:t>
      </w:r>
    </w:p>
    <w:p w14:paraId="22415642" w14:textId="7C88CD3D" w:rsidR="00D01136" w:rsidRPr="005B7337" w:rsidRDefault="00C040DE" w:rsidP="001865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</w:t>
      </w:r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ojedinačni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pokazatelj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primarna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mjera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pojedinoj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kategoriji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transformisana</w:t>
      </w:r>
      <w:proofErr w:type="spellEnd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originalnih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graničnim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vrijednostima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koje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osiguravaju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njegov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raspon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od 0 do 100</w:t>
      </w:r>
      <w:r w:rsidR="009B234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18F4CFE7" w14:textId="2EFF4B11" w:rsidR="00D01136" w:rsidRPr="005B7337" w:rsidRDefault="00C040DE" w:rsidP="001865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Z</w:t>
      </w:r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birna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ocjena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kreditnu</w:t>
      </w:r>
      <w:proofErr w:type="spellEnd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instituciju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</w:t>
      </w:r>
      <w:r w:rsidR="00186543" w:rsidRPr="00E80352">
        <w:rPr>
          <w:rFonts w:ascii="Arial" w:eastAsiaTheme="minorEastAsia" w:hAnsi="Arial" w:cs="Arial"/>
          <w:sz w:val="24"/>
          <w:szCs w:val="24"/>
          <w:lang w:eastAsia="en-GB"/>
        </w:rPr>
        <w:t>ir</w:t>
      </w:r>
      <w:proofErr w:type="spellEnd"/>
      <w:r w:rsidR="00D01136" w:rsidRPr="00E8035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svih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pojedinačnih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079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pomnoženi</w:t>
      </w:r>
      <w:proofErr w:type="spellEnd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</w:t>
      </w:r>
      <w:proofErr w:type="spellEnd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odgovarajućim</w:t>
      </w:r>
      <w:proofErr w:type="spellEnd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koeficijentom</w:t>
      </w:r>
      <w:proofErr w:type="spellEnd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EB51D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D011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03F645A9" w14:textId="7C9D0615" w:rsidR="00485CB5" w:rsidRPr="005B7337" w:rsidRDefault="00485CB5" w:rsidP="007E6F7A">
      <w:pPr>
        <w:pStyle w:val="ListParagraph"/>
        <w:numPr>
          <w:ilvl w:val="0"/>
          <w:numId w:val="24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bookmarkStart w:id="1" w:name="_Hlk58934578"/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Stepen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rizičnosti</w:t>
      </w:r>
      <w:proofErr w:type="spellEnd"/>
      <w:r w:rsidR="0050792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– </w:t>
      </w:r>
      <w:proofErr w:type="spellStart"/>
      <w:r w:rsidR="0050792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koeficijent</w:t>
      </w:r>
      <w:proofErr w:type="spellEnd"/>
      <w:r w:rsidR="0050792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0792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zbirnog</w:t>
      </w:r>
      <w:proofErr w:type="spellEnd"/>
      <w:r w:rsidR="0050792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0792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je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mjera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ocijenjena</w:t>
      </w:r>
      <w:proofErr w:type="spellEnd"/>
      <w:r w:rsidR="00BF1A3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funk</w:t>
      </w:r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ijskom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transformacijom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7B67D8">
        <w:rPr>
          <w:rFonts w:ascii="Arial" w:eastAsiaTheme="minorEastAsia" w:hAnsi="Arial" w:cs="Arial"/>
          <w:color w:val="000000"/>
          <w:sz w:val="24"/>
          <w:szCs w:val="24"/>
          <w:lang w:val="sr-Latn-ME" w:eastAsia="en-GB"/>
        </w:rPr>
        <w:t>zbirne ocjene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iskazana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bookmarkEnd w:id="1"/>
    <w:p w14:paraId="4F487668" w14:textId="40874D0A" w:rsidR="007F0246" w:rsidRPr="005B7337" w:rsidRDefault="006A55EF" w:rsidP="007E6F7A">
      <w:pPr>
        <w:pStyle w:val="ListParagraph"/>
        <w:numPr>
          <w:ilvl w:val="0"/>
          <w:numId w:val="24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sz w:val="24"/>
          <w:szCs w:val="24"/>
        </w:rPr>
        <w:t>K</w:t>
      </w:r>
      <w:r w:rsidR="007F0246" w:rsidRPr="005B7337">
        <w:rPr>
          <w:rFonts w:ascii="Arial" w:hAnsi="Arial" w:cs="Arial"/>
          <w:b/>
          <w:sz w:val="24"/>
          <w:szCs w:val="24"/>
        </w:rPr>
        <w:t>oeficijent</w:t>
      </w:r>
      <w:proofErr w:type="spellEnd"/>
      <w:r w:rsidR="007F0246" w:rsidRPr="005B73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b/>
          <w:sz w:val="24"/>
          <w:szCs w:val="24"/>
        </w:rPr>
        <w:t>prilagodjavanja</w:t>
      </w:r>
      <w:proofErr w:type="spellEnd"/>
      <w:r w:rsidR="007F0246" w:rsidRPr="005B7337">
        <w:rPr>
          <w:rFonts w:ascii="Arial" w:hAnsi="Arial" w:cs="Arial"/>
          <w:b/>
          <w:sz w:val="24"/>
          <w:szCs w:val="24"/>
        </w:rPr>
        <w:t xml:space="preserve"> (μ</w:t>
      </w:r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), je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dodatni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tehnički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parametar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koji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omogućava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Fondu da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obezbijedi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sredstva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Fonda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dostignu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2515DF4A" w14:textId="6AA8DE80" w:rsidR="007E6F7A" w:rsidRPr="005B7337" w:rsidRDefault="006A55EF" w:rsidP="00485CB5">
      <w:pPr>
        <w:pStyle w:val="ListParagraph"/>
        <w:numPr>
          <w:ilvl w:val="0"/>
          <w:numId w:val="24"/>
        </w:numPr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C</w:t>
      </w:r>
      <w:r w:rsidR="007E6F7A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ilјani</w:t>
      </w:r>
      <w:proofErr w:type="spellEnd"/>
      <w:r w:rsidR="007E6F7A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E6F7A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iznos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sredstava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koje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 </w:t>
      </w:r>
      <w:proofErr w:type="spellStart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treba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dostići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odredjenom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vremenskom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37E3E" w:rsidRPr="00334D4F">
        <w:rPr>
          <w:rFonts w:ascii="Arial" w:eastAsiaTheme="minorEastAsia" w:hAnsi="Arial" w:cs="Arial"/>
          <w:sz w:val="24"/>
          <w:szCs w:val="24"/>
          <w:lang w:eastAsia="en-GB"/>
        </w:rPr>
        <w:t>period</w:t>
      </w:r>
      <w:r w:rsidR="00BF1A39" w:rsidRPr="00334D4F">
        <w:rPr>
          <w:rFonts w:ascii="Arial" w:eastAsiaTheme="minorEastAsia" w:hAnsi="Arial" w:cs="Arial"/>
          <w:sz w:val="24"/>
          <w:szCs w:val="24"/>
          <w:lang w:eastAsia="en-GB"/>
        </w:rPr>
        <w:t>u</w:t>
      </w:r>
      <w:proofErr w:type="spellEnd"/>
      <w:r w:rsidR="00237E3E" w:rsidRPr="00334D4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37E3E" w:rsidRPr="00334D4F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</w:t>
      </w:r>
      <w:proofErr w:type="spellEnd"/>
      <w:r w:rsidR="00237E3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 u</w:t>
      </w:r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fazi</w:t>
      </w:r>
      <w:proofErr w:type="spellEnd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F024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akumulacije</w:t>
      </w:r>
      <w:proofErr w:type="spellEnd"/>
      <w:r w:rsidR="007E6F7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69F1C55D" w14:textId="6FFA03F7" w:rsidR="00F25EC4" w:rsidRDefault="006A55EF" w:rsidP="00F25EC4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</w:t>
      </w:r>
      <w:r w:rsidR="007F0246" w:rsidRPr="005B7337">
        <w:rPr>
          <w:rFonts w:ascii="Arial" w:hAnsi="Arial" w:cs="Arial"/>
          <w:b/>
          <w:sz w:val="24"/>
          <w:szCs w:val="24"/>
        </w:rPr>
        <w:t>odišnji</w:t>
      </w:r>
      <w:proofErr w:type="spellEnd"/>
      <w:r w:rsidR="007F0246" w:rsidRPr="005B73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b/>
          <w:sz w:val="24"/>
          <w:szCs w:val="24"/>
        </w:rPr>
        <w:t>cilјani</w:t>
      </w:r>
      <w:proofErr w:type="spellEnd"/>
      <w:r w:rsidR="007F0246" w:rsidRPr="005B73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b/>
          <w:sz w:val="24"/>
          <w:szCs w:val="24"/>
        </w:rPr>
        <w:t>iznos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iznos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premija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koje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Fond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treba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prikupi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obračunskoj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godini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od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kreditnih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institucija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246" w:rsidRPr="005B7337">
        <w:rPr>
          <w:rFonts w:ascii="Arial" w:hAnsi="Arial" w:cs="Arial"/>
          <w:sz w:val="24"/>
          <w:szCs w:val="24"/>
        </w:rPr>
        <w:t>članica</w:t>
      </w:r>
      <w:proofErr w:type="spellEnd"/>
      <w:r w:rsidR="007F0246" w:rsidRPr="005B7337">
        <w:rPr>
          <w:rFonts w:ascii="Arial" w:hAnsi="Arial" w:cs="Arial"/>
          <w:sz w:val="24"/>
          <w:szCs w:val="24"/>
        </w:rPr>
        <w:t>.</w:t>
      </w:r>
    </w:p>
    <w:p w14:paraId="47ADE578" w14:textId="69DD4D77" w:rsidR="006A55EF" w:rsidRPr="00002958" w:rsidRDefault="00F25EC4" w:rsidP="00F25EC4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2958">
        <w:rPr>
          <w:rFonts w:ascii="Arial" w:hAnsi="Arial" w:cs="Arial"/>
          <w:b/>
          <w:sz w:val="24"/>
          <w:szCs w:val="24"/>
        </w:rPr>
        <w:t>Klasa</w:t>
      </w:r>
      <w:proofErr w:type="spellEnd"/>
      <w:r w:rsidRPr="000029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/>
          <w:sz w:val="24"/>
          <w:szCs w:val="24"/>
        </w:rPr>
        <w:t>rizika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mjera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rizika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od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stepena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1 (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veoma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nisko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rizična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kreditna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institucija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) do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stepena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7 (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izrazito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rizična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kreditna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958">
        <w:rPr>
          <w:rFonts w:ascii="Arial" w:hAnsi="Arial" w:cs="Arial"/>
          <w:bCs/>
          <w:sz w:val="24"/>
          <w:szCs w:val="24"/>
        </w:rPr>
        <w:t>institucija</w:t>
      </w:r>
      <w:proofErr w:type="spellEnd"/>
      <w:r w:rsidRPr="00002958">
        <w:rPr>
          <w:rFonts w:ascii="Arial" w:hAnsi="Arial" w:cs="Arial"/>
          <w:bCs/>
          <w:sz w:val="24"/>
          <w:szCs w:val="24"/>
        </w:rPr>
        <w:t>).</w:t>
      </w:r>
    </w:p>
    <w:p w14:paraId="0412A81A" w14:textId="77777777" w:rsidR="007F0246" w:rsidRPr="005B7337" w:rsidRDefault="007F0246" w:rsidP="007F0246">
      <w:pPr>
        <w:pStyle w:val="ListParagrap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0BD27041" w14:textId="25FB1A60" w:rsidR="0067787E" w:rsidRPr="005B7337" w:rsidRDefault="009624B1" w:rsidP="003001A8">
      <w:pPr>
        <w:autoSpaceDE w:val="0"/>
        <w:autoSpaceDN w:val="0"/>
        <w:adjustRightInd w:val="0"/>
        <w:spacing w:before="60" w:after="60" w:line="240" w:lineRule="auto"/>
        <w:ind w:left="142" w:hanging="142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lastRenderedPageBreak/>
        <w:t>Drugi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izrazi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upotrijebljeni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ovoj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imaju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značenja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utvrđena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Zakonom</w:t>
      </w:r>
      <w:proofErr w:type="spellEnd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zaštiti</w:t>
      </w:r>
      <w:proofErr w:type="spellEnd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(u </w:t>
      </w:r>
      <w:proofErr w:type="spellStart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daljem</w:t>
      </w:r>
      <w:proofErr w:type="spellEnd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tekstu</w:t>
      </w:r>
      <w:proofErr w:type="spellEnd"/>
      <w:r w:rsidR="00D4456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Zakon</w:t>
      </w:r>
      <w:proofErr w:type="spellEnd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)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52DBAA40" w14:textId="3EA63510" w:rsidR="009624B1" w:rsidRPr="005B7337" w:rsidRDefault="009624B1" w:rsidP="009624B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II. </w:t>
      </w:r>
      <w:r w:rsidR="000D7123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CILJEVI I NAČELA METODOLOGIJE </w:t>
      </w:r>
    </w:p>
    <w:p w14:paraId="501F43B9" w14:textId="721CAAC2" w:rsidR="009624B1" w:rsidRPr="005B7337" w:rsidRDefault="000D7123" w:rsidP="009624B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Ciljevi</w:t>
      </w:r>
      <w:proofErr w:type="spellEnd"/>
    </w:p>
    <w:p w14:paraId="5A75EE51" w14:textId="21484526" w:rsidR="009624B1" w:rsidRDefault="009624B1" w:rsidP="00791C65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D7123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3</w:t>
      </w:r>
    </w:p>
    <w:p w14:paraId="57E41252" w14:textId="78E7012C" w:rsidR="000D7123" w:rsidRPr="005B7337" w:rsidRDefault="00A75356" w:rsidP="003C68E4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Ciljevi</w:t>
      </w:r>
      <w:proofErr w:type="spellEnd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osiguravaju</w:t>
      </w:r>
      <w:proofErr w:type="spellEnd"/>
      <w:r w:rsidR="000D712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: </w:t>
      </w:r>
    </w:p>
    <w:p w14:paraId="0DE1AB33" w14:textId="1C9BDD8A" w:rsidR="000D7123" w:rsidRPr="005B7337" w:rsidRDefault="000D7123" w:rsidP="00CD4A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da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trošak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finan</w:t>
      </w:r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iranja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Fonda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odnosno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zaštite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Crnoj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Gori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snose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same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su</w:t>
      </w:r>
      <w:proofErr w:type="spellEnd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0295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njihovi</w:t>
      </w:r>
      <w:proofErr w:type="spellEnd"/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doprinosi</w:t>
      </w:r>
      <w:proofErr w:type="spellEnd"/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srazmjer</w:t>
      </w:r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</w:t>
      </w:r>
      <w:proofErr w:type="spellEnd"/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</w:t>
      </w:r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vezama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Fonda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; </w:t>
      </w:r>
    </w:p>
    <w:p w14:paraId="5214089F" w14:textId="12B826EA" w:rsidR="005842F3" w:rsidRDefault="000D7123" w:rsidP="00CD4A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da se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postigne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minimaln</w:t>
      </w:r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</w:t>
      </w:r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</w:t>
      </w:r>
      <w:r w:rsidR="00B3305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najmanje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10%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3C68E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;</w:t>
      </w:r>
    </w:p>
    <w:p w14:paraId="78CFF6E8" w14:textId="421618C8" w:rsidR="00CE7471" w:rsidRPr="005842F3" w:rsidRDefault="00324759" w:rsidP="005842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da se </w:t>
      </w:r>
      <w:proofErr w:type="spellStart"/>
      <w:r w:rsidR="00002958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</w:t>
      </w:r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manji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uticaj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prekomjernog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preuzimanja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strane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</w:t>
      </w:r>
      <w:r w:rsidR="009B234D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3C68E4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članice</w:t>
      </w:r>
      <w:proofErr w:type="spellEnd"/>
      <w:r w:rsidR="009B234D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prikupljanjem</w:t>
      </w:r>
      <w:proofErr w:type="spellEnd"/>
      <w:r w:rsidR="000D7123" w:rsidRPr="00BF1A39">
        <w:rPr>
          <w:rFonts w:ascii="Arial" w:eastAsiaTheme="minorEastAsia" w:hAnsi="Arial" w:cs="Arial"/>
          <w:color w:val="FF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većih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3C68E4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zaštitu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rizičnijih</w:t>
      </w:r>
      <w:proofErr w:type="spellEnd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68E4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="003C68E4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D7123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914C51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r w:rsidR="005B7337" w:rsidRPr="005842F3">
        <w:rPr>
          <w:rFonts w:ascii="Arial" w:eastAsiaTheme="minorEastAsia" w:hAnsi="Arial" w:cs="Arial"/>
          <w:color w:val="FF0000"/>
          <w:sz w:val="24"/>
          <w:szCs w:val="24"/>
          <w:lang w:eastAsia="en-GB"/>
        </w:rPr>
        <w:t xml:space="preserve"> </w:t>
      </w:r>
    </w:p>
    <w:p w14:paraId="65F9CC5E" w14:textId="5D400F60" w:rsidR="009624B1" w:rsidRPr="00CE7471" w:rsidRDefault="003C68E4" w:rsidP="00914C5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CE747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Načela</w:t>
      </w:r>
      <w:proofErr w:type="spellEnd"/>
    </w:p>
    <w:p w14:paraId="3B221787" w14:textId="01EB2657" w:rsidR="009624B1" w:rsidRPr="005B7337" w:rsidRDefault="009624B1" w:rsidP="001A35D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C68E4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4</w:t>
      </w:r>
    </w:p>
    <w:p w14:paraId="14911B0F" w14:textId="7731CAA1" w:rsidR="00C8067F" w:rsidRPr="005B7337" w:rsidRDefault="00284EBA" w:rsidP="003C68E4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etodologij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zasniva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sljedećim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načelima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12CC39C2" w14:textId="04DE27DF" w:rsidR="00C8067F" w:rsidRPr="005B7337" w:rsidRDefault="00284EBA" w:rsidP="00DD4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</w:t>
      </w:r>
      <w:r w:rsidR="00355BB2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odražava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izloženost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Fonda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kao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posljedicu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</w:t>
      </w:r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</w:t>
      </w:r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ena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</w:t>
      </w:r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ičnosti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poslovanja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odražava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mogućnost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nastupanja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zaštićenog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slučaja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kreditnoj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</w:t>
      </w:r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odnosno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korišćenj</w:t>
      </w:r>
      <w:r w:rsidR="009B234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sredstava</w:t>
      </w:r>
      <w:proofErr w:type="spellEnd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Fonda za </w:t>
      </w:r>
      <w:proofErr w:type="spellStart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sanaciju</w:t>
      </w:r>
      <w:proofErr w:type="spellEnd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instucije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moguće</w:t>
      </w:r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gubitk</w:t>
      </w:r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koji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proizlaz</w:t>
      </w:r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intervencije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Fonda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neto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nakon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nadoknad</w:t>
      </w:r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</w:t>
      </w:r>
      <w:proofErr w:type="spellEnd"/>
      <w:r w:rsidR="00DD45C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stečajne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mase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579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3AD34248" w14:textId="255D908E" w:rsidR="00C8067F" w:rsidRPr="00914C51" w:rsidRDefault="00DD45C4" w:rsidP="00DD4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M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etod</w:t>
      </w:r>
      <w:r w:rsidR="00355BB2" w:rsidRPr="00914C51">
        <w:rPr>
          <w:rFonts w:ascii="Arial" w:eastAsiaTheme="minorEastAsia" w:hAnsi="Arial" w:cs="Arial"/>
          <w:sz w:val="24"/>
          <w:szCs w:val="24"/>
          <w:lang w:eastAsia="en-GB"/>
        </w:rPr>
        <w:t>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obra</w:t>
      </w:r>
      <w:r w:rsidR="00391782" w:rsidRPr="00914C51">
        <w:rPr>
          <w:rFonts w:ascii="Arial" w:eastAsiaTheme="minorEastAsia" w:hAnsi="Arial" w:cs="Arial"/>
          <w:sz w:val="24"/>
          <w:szCs w:val="24"/>
          <w:lang w:eastAsia="en-GB"/>
        </w:rPr>
        <w:t>č</w:t>
      </w:r>
      <w:r w:rsidRPr="00914C51">
        <w:rPr>
          <w:rFonts w:ascii="Arial" w:eastAsiaTheme="minorEastAsia" w:hAnsi="Arial" w:cs="Arial"/>
          <w:sz w:val="24"/>
          <w:szCs w:val="24"/>
          <w:lang w:eastAsia="en-GB"/>
        </w:rPr>
        <w:t>una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B7337" w:rsidRPr="00914C51">
        <w:rPr>
          <w:rFonts w:ascii="Arial" w:eastAsiaTheme="minorEastAsia" w:hAnsi="Arial" w:cs="Arial"/>
          <w:sz w:val="24"/>
          <w:szCs w:val="24"/>
          <w:lang w:eastAsia="en-GB"/>
        </w:rPr>
        <w:t>usmjerena</w:t>
      </w:r>
      <w:proofErr w:type="spellEnd"/>
      <w:r w:rsidR="005B7337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je </w:t>
      </w:r>
      <w:proofErr w:type="spellStart"/>
      <w:r w:rsidR="005B7337" w:rsidRPr="00914C51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="005B7337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postizanj</w:t>
      </w:r>
      <w:r w:rsidR="00914C51" w:rsidRPr="00914C51">
        <w:rPr>
          <w:rFonts w:ascii="Arial" w:eastAsiaTheme="minorEastAsia" w:hAnsi="Arial" w:cs="Arial"/>
          <w:sz w:val="24"/>
          <w:szCs w:val="24"/>
          <w:lang w:eastAsia="en-GB"/>
        </w:rPr>
        <w:t>e</w:t>
      </w:r>
      <w:proofErr w:type="spellEnd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cilj</w:t>
      </w:r>
      <w:r w:rsidR="00391782" w:rsidRPr="00914C51">
        <w:rPr>
          <w:rFonts w:ascii="Arial" w:eastAsiaTheme="minorEastAsia" w:hAnsi="Arial" w:cs="Arial"/>
          <w:sz w:val="24"/>
          <w:szCs w:val="24"/>
          <w:lang w:eastAsia="en-GB"/>
        </w:rPr>
        <w:t>a</w:t>
      </w:r>
      <w:r w:rsidRPr="00914C51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="00470CE5" w:rsidRPr="00914C51">
        <w:rPr>
          <w:rFonts w:ascii="Arial" w:eastAsiaTheme="minorEastAsia" w:hAnsi="Arial" w:cs="Arial"/>
          <w:sz w:val="24"/>
          <w:szCs w:val="24"/>
          <w:lang w:eastAsia="en-GB"/>
        </w:rPr>
        <w:t>og</w:t>
      </w:r>
      <w:proofErr w:type="spellEnd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iznos</w:t>
      </w:r>
      <w:r w:rsidR="00391782" w:rsidRPr="00914C51">
        <w:rPr>
          <w:rFonts w:ascii="Arial" w:eastAsiaTheme="minorEastAsia" w:hAnsi="Arial" w:cs="Arial"/>
          <w:sz w:val="24"/>
          <w:szCs w:val="24"/>
          <w:lang w:eastAsia="en-GB"/>
        </w:rPr>
        <w:t>a</w:t>
      </w:r>
      <w:proofErr w:type="spellEnd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od</w:t>
      </w:r>
      <w:proofErr w:type="spellEnd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najmanje</w:t>
      </w:r>
      <w:proofErr w:type="spellEnd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10%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garantovanih</w:t>
      </w:r>
      <w:proofErr w:type="spellEnd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depozita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utrvđenog</w:t>
      </w:r>
      <w:proofErr w:type="spellEnd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Zakonom</w:t>
      </w:r>
      <w:proofErr w:type="spellEnd"/>
      <w:r w:rsidR="005B7337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5B7337" w:rsidRPr="00914C51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a</w:t>
      </w:r>
      <w:proofErr w:type="spellEnd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način</w:t>
      </w:r>
      <w:proofErr w:type="spellEnd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470CE5" w:rsidRPr="00914C51">
        <w:rPr>
          <w:rFonts w:ascii="Arial" w:eastAsiaTheme="minorEastAsia" w:hAnsi="Arial" w:cs="Arial"/>
          <w:sz w:val="24"/>
          <w:szCs w:val="24"/>
          <w:lang w:eastAsia="en-GB"/>
        </w:rPr>
        <w:t>da se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premija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za </w:t>
      </w:r>
      <w:proofErr w:type="spellStart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zaštitu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depozita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raspodijel</w:t>
      </w:r>
      <w:r w:rsidR="00470CE5" w:rsidRPr="00914C51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što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je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ravnomjernije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moguće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o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kom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vremena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dok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se ne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dos</w:t>
      </w:r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tig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ne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cilj</w:t>
      </w:r>
      <w:r w:rsidR="00BF1A39">
        <w:rPr>
          <w:rFonts w:ascii="Arial" w:eastAsiaTheme="minorEastAsia" w:hAnsi="Arial" w:cs="Arial"/>
          <w:sz w:val="24"/>
          <w:szCs w:val="24"/>
          <w:lang w:eastAsia="en-GB"/>
        </w:rPr>
        <w:t>a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="00391782" w:rsidRPr="00914C51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iznos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a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uzimajući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u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obzir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fazu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poslovnog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ciklusa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prociklički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ut</w:t>
      </w:r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i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caj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koji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premija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za </w:t>
      </w:r>
      <w:proofErr w:type="spellStart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zaštitu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depozita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može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imati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finan</w:t>
      </w:r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ijski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položaj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>kreditnih</w:t>
      </w:r>
      <w:proofErr w:type="spellEnd"/>
      <w:r w:rsidR="000B230E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institucija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>članica</w:t>
      </w:r>
      <w:proofErr w:type="spellEnd"/>
      <w:r w:rsidR="00C8067F" w:rsidRPr="00914C51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3C90D185" w14:textId="5D79AA2F" w:rsidR="003C68E4" w:rsidRPr="00C63850" w:rsidRDefault="00011827" w:rsidP="000B2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inan</w:t>
      </w:r>
      <w:r w:rsidR="000B230E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iranj</w:t>
      </w:r>
      <w:r w:rsidR="00047BC7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0B230E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Fonda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usklađen</w:t>
      </w:r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s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bonitetnim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zahtjevima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koji se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primjenjuju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Crnoj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Gori </w:t>
      </w:r>
      <w:proofErr w:type="spellStart"/>
      <w:r w:rsidR="00BF1A39" w:rsidRPr="00334D4F">
        <w:rPr>
          <w:rFonts w:ascii="Arial" w:eastAsiaTheme="minorEastAsia" w:hAnsi="Arial" w:cs="Arial"/>
          <w:sz w:val="24"/>
          <w:szCs w:val="24"/>
          <w:lang w:eastAsia="en-GB"/>
        </w:rPr>
        <w:t>odnosno</w:t>
      </w:r>
      <w:proofErr w:type="spellEnd"/>
      <w:r w:rsidR="00C8067F" w:rsidRPr="00334D4F"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kapitalnim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zahtjevima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zahtjevima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likvidnost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koji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odražavaju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B230E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0B230E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članice</w:t>
      </w:r>
      <w:proofErr w:type="spellEnd"/>
      <w:r w:rsidR="000B230E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313740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zaštite</w:t>
      </w:r>
      <w:proofErr w:type="spellEnd"/>
      <w:r w:rsidR="00313740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ciljem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24759" w:rsidRPr="005B27EF">
        <w:rPr>
          <w:rFonts w:ascii="Arial" w:eastAsiaTheme="minorEastAsia" w:hAnsi="Arial" w:cs="Arial"/>
          <w:sz w:val="24"/>
          <w:szCs w:val="24"/>
          <w:lang w:eastAsia="en-GB"/>
        </w:rPr>
        <w:t>smanjenja</w:t>
      </w:r>
      <w:proofErr w:type="spellEnd"/>
      <w:r w:rsidR="00C8067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5B27EF">
        <w:rPr>
          <w:rFonts w:ascii="Arial" w:eastAsiaTheme="minorEastAsia" w:hAnsi="Arial" w:cs="Arial"/>
          <w:sz w:val="24"/>
          <w:szCs w:val="24"/>
          <w:lang w:eastAsia="en-GB"/>
        </w:rPr>
        <w:t>moralnog</w:t>
      </w:r>
      <w:proofErr w:type="spellEnd"/>
      <w:r w:rsidR="00C8067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8067F" w:rsidRPr="005B27EF">
        <w:rPr>
          <w:rFonts w:ascii="Arial" w:eastAsiaTheme="minorEastAsia" w:hAnsi="Arial" w:cs="Arial"/>
          <w:sz w:val="24"/>
          <w:szCs w:val="24"/>
          <w:lang w:eastAsia="en-GB"/>
        </w:rPr>
        <w:t>hazarda</w:t>
      </w:r>
      <w:proofErr w:type="spellEnd"/>
      <w:r w:rsidR="00470CE5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470CE5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</w:t>
      </w:r>
      <w:proofErr w:type="spellEnd"/>
      <w:r w:rsidR="00470CE5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70CE5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čemu</w:t>
      </w:r>
      <w:proofErr w:type="spellEnd"/>
      <w:r w:rsidR="00470CE5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32475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je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70CE5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</w:t>
      </w:r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razvijen</w:t>
      </w:r>
      <w:r w:rsidR="0032475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1374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kalibri</w:t>
      </w:r>
      <w:r w:rsidR="009B4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san</w:t>
      </w:r>
      <w:r w:rsidR="0032475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koriš</w:t>
      </w:r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enjem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statističkih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ekonometrijskih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alata</w:t>
      </w:r>
      <w:proofErr w:type="spellEnd"/>
      <w:r w:rsidR="004B7DC8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1152817C" w14:textId="5045D399" w:rsidR="0053333A" w:rsidRPr="00C63850" w:rsidRDefault="004B7DC8" w:rsidP="00C80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</w:t>
      </w:r>
      <w:r w:rsidR="009B4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uzima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obzir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posebne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karakteristike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bankarskog</w:t>
      </w:r>
      <w:proofErr w:type="spellEnd"/>
      <w:r w:rsid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B67D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7B67D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Crnoj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Gori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usklađen</w:t>
      </w:r>
      <w:r w:rsidR="009B4EF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9B4EF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je </w:t>
      </w:r>
      <w:proofErr w:type="spellStart"/>
      <w:r w:rsidR="009B4EF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regulatornim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okvirom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računovodstvenim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izvještajnim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praksama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Crnoj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Gori, 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odabrani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metodu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3333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omogućavaju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53333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Fondu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primjeren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identifi</w:t>
      </w:r>
      <w:r w:rsidR="0053333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kuje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razlike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stepenima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3333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="0053333A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uzimajući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obzir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njihov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model</w:t>
      </w:r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izloženost</w:t>
      </w:r>
      <w:proofErr w:type="spellEnd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prema</w:t>
      </w:r>
      <w:proofErr w:type="spellEnd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047BC7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Fondu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–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moguće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gubitke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Fond</w:t>
      </w:r>
      <w:r w:rsidR="00C6385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785AA633" w14:textId="600568DA" w:rsidR="0053333A" w:rsidRPr="005B7337" w:rsidRDefault="0053333A" w:rsidP="00C80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</w:t>
      </w:r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ravila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zaštitu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su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objektivna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transparentna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primjenjuju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jednako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</w:t>
      </w:r>
      <w:r w:rsidR="0006598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lanice</w:t>
      </w:r>
      <w:proofErr w:type="spellEnd"/>
      <w:r w:rsidR="0006598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47BC7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="0006598C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istema</w:t>
      </w:r>
      <w:proofErr w:type="spellEnd"/>
      <w:r w:rsidR="0006598C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6598C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zaštite</w:t>
      </w:r>
      <w:proofErr w:type="spellEnd"/>
      <w:r w:rsidR="0006598C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6598C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06598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06598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Crnoj</w:t>
      </w:r>
      <w:proofErr w:type="spellEnd"/>
      <w:r w:rsidR="0006598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Gori.</w:t>
      </w:r>
    </w:p>
    <w:p w14:paraId="02528248" w14:textId="682A8624" w:rsidR="00C8067F" w:rsidRPr="005B7337" w:rsidRDefault="002C1A31" w:rsidP="00C80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Fond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koristiti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izvještaje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dostavljaju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C63850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Fondu</w:t>
      </w:r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mjesečno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podatak</w:t>
      </w:r>
      <w:r w:rsidR="0018654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dostavlja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Centralna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Gore</w:t>
      </w:r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(u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daljem</w:t>
      </w:r>
      <w:proofErr w:type="spellEnd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tekstu</w:t>
      </w:r>
      <w:proofErr w:type="spellEnd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: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Centralna</w:t>
      </w:r>
      <w:proofErr w:type="spellEnd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</w:t>
      </w:r>
      <w:proofErr w:type="spellEnd"/>
      <w:r w:rsidR="00047BC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)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bazi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revidovanih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izvještaja</w:t>
      </w:r>
      <w:proofErr w:type="spellEnd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prethodnu</w:t>
      </w:r>
      <w:proofErr w:type="spellEnd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61C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="007B67D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  <w:r w:rsid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B67D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</w:t>
      </w:r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rikupljanje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podataka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potrebnih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stepena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potrebe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zaštitu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A416C2">
        <w:rPr>
          <w:rFonts w:ascii="Arial" w:eastAsiaTheme="minorEastAsia" w:hAnsi="Arial" w:cs="Arial"/>
          <w:sz w:val="24"/>
          <w:szCs w:val="24"/>
          <w:lang w:eastAsia="en-GB"/>
        </w:rPr>
        <w:t>depozita</w:t>
      </w:r>
      <w:proofErr w:type="spellEnd"/>
      <w:r w:rsidR="00C63850" w:rsidRPr="00A416C2">
        <w:rPr>
          <w:rFonts w:ascii="Arial" w:eastAsiaTheme="minorEastAsia" w:hAnsi="Arial" w:cs="Arial"/>
          <w:sz w:val="24"/>
          <w:szCs w:val="24"/>
          <w:lang w:eastAsia="en-GB"/>
        </w:rPr>
        <w:t xml:space="preserve"> ne </w:t>
      </w:r>
      <w:proofErr w:type="spellStart"/>
      <w:r w:rsidR="00C63850" w:rsidRPr="00A416C2">
        <w:rPr>
          <w:rFonts w:ascii="Arial" w:eastAsiaTheme="minorEastAsia" w:hAnsi="Arial" w:cs="Arial"/>
          <w:sz w:val="24"/>
          <w:szCs w:val="24"/>
          <w:lang w:eastAsia="en-GB"/>
        </w:rPr>
        <w:t>dovod</w:t>
      </w:r>
      <w:r w:rsidR="005F7E21" w:rsidRPr="00A416C2">
        <w:rPr>
          <w:rFonts w:ascii="Arial" w:eastAsiaTheme="minorEastAsia" w:hAnsi="Arial" w:cs="Arial"/>
          <w:sz w:val="24"/>
          <w:szCs w:val="24"/>
          <w:lang w:eastAsia="en-GB"/>
        </w:rPr>
        <w:t>e</w:t>
      </w:r>
      <w:proofErr w:type="spellEnd"/>
      <w:r w:rsidR="00C63850" w:rsidRPr="00A416C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do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dodatnih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izvještajnih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zahtjeva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6385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C8067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79FFAB2D" w14:textId="20D2C79D" w:rsidR="00361C01" w:rsidRPr="00C63850" w:rsidRDefault="00361C01" w:rsidP="00C80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Podaci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poslovanju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koje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047BC7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zaštitu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koj</w:t>
      </w:r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javno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ne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objavljuju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pred</w:t>
      </w:r>
      <w:r w:rsidR="00186543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tavljaju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poslovnu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tajnu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rezultati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klasifikacije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nje</w:t>
      </w:r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govih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elemenata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određenu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kreditnu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instituciju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91782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bi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="00391782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dostavljeni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samo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toj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kreditnoj</w:t>
      </w:r>
      <w:proofErr w:type="spellEnd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5E86F6C0" w14:textId="51C8A9FC" w:rsidR="001A35D3" w:rsidRPr="003001A8" w:rsidRDefault="00361C01" w:rsidP="00300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sklađenost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</w:t>
      </w:r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relevantnim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96F75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istorijskim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podacima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="00391782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kreditnim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institucijama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</w:t>
      </w:r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prosječnih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u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ukupnom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bankarskom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sistemu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individualnih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kategorija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D62EF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ponovnoj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kalibraciji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parametara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</w:t>
      </w:r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91782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C8067F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4CD47213" w14:textId="08D7EC0A" w:rsidR="009624B1" w:rsidRPr="005B7337" w:rsidRDefault="005F0576" w:rsidP="00791C65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lastRenderedPageBreak/>
        <w:t xml:space="preserve">III. </w:t>
      </w:r>
      <w:r w:rsidR="007F0079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OBRAČUN</w:t>
      </w:r>
      <w:r w:rsidR="00FC2EF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STEPENA RIZIČNOSTI POJEDINE KREDITNE INSTITUCIJE</w:t>
      </w:r>
    </w:p>
    <w:p w14:paraId="4E369F32" w14:textId="3D6FAAFF" w:rsidR="005E532F" w:rsidRPr="005B7337" w:rsidRDefault="005E532F" w:rsidP="00FC2EFC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Ključni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elementi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utvrđivanje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651E2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stepena</w:t>
      </w:r>
      <w:proofErr w:type="spellEnd"/>
      <w:r w:rsidR="002651E2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rizičnosti</w:t>
      </w:r>
      <w:proofErr w:type="spellEnd"/>
    </w:p>
    <w:p w14:paraId="0D2919D3" w14:textId="61976912" w:rsidR="009624B1" w:rsidRPr="005B7337" w:rsidRDefault="009624B1" w:rsidP="009624B1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974F7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5</w:t>
      </w:r>
    </w:p>
    <w:p w14:paraId="7DB915D4" w14:textId="4BD00773" w:rsidR="000F7C4C" w:rsidRPr="005B7337" w:rsidRDefault="005B7337" w:rsidP="000F7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914C51">
        <w:rPr>
          <w:rFonts w:ascii="Arial" w:eastAsiaTheme="minorEastAsia" w:hAnsi="Arial" w:cs="Arial"/>
          <w:sz w:val="24"/>
          <w:szCs w:val="24"/>
          <w:lang w:eastAsia="en-GB"/>
        </w:rPr>
        <w:t>Izbor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usklađen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="002F784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najboljim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praksama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upravljanja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rizikom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postojećim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bonitetnim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zahtjevima</w:t>
      </w:r>
      <w:proofErr w:type="spellEnd"/>
      <w:r w:rsidR="000F7C4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6FC81355" w14:textId="2A1ABB1F" w:rsidR="00FC2EFC" w:rsidRPr="005B7337" w:rsidRDefault="00FC2EFC" w:rsidP="00FC2EFC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Ključni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elementi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0C33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="007F007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</w:t>
      </w:r>
      <w:r w:rsidR="000C33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r w:rsidR="00AD74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pe</w:t>
      </w:r>
      <w:r w:rsidR="000C33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potrebe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33CE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33CE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0C33CE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11827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011827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11827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bazi</w:t>
      </w:r>
      <w:proofErr w:type="spellEnd"/>
      <w:r w:rsidR="00011827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11827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obuhva</w:t>
      </w:r>
      <w:r w:rsidR="00C029D2"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</w:t>
      </w:r>
      <w:r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aju</w:t>
      </w:r>
      <w:proofErr w:type="spellEnd"/>
      <w:r w:rsidRPr="00914C5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6B705891" w14:textId="6EE91726" w:rsidR="00FC2EFC" w:rsidRPr="005B7337" w:rsidRDefault="00FC2EFC" w:rsidP="00FC2E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Kategorije</w:t>
      </w:r>
      <w:proofErr w:type="spellEnd"/>
      <w:r w:rsidR="0003640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3640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AF32B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pokazatelje</w:t>
      </w:r>
      <w:proofErr w:type="spellEnd"/>
      <w:r w:rsidR="0003640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3640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pripadajuće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3640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koeficijente</w:t>
      </w:r>
      <w:proofErr w:type="spellEnd"/>
      <w:r w:rsidR="0003640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; </w:t>
      </w:r>
    </w:p>
    <w:p w14:paraId="61C298AA" w14:textId="1851D5F8" w:rsidR="00FC2EFC" w:rsidRPr="005B7337" w:rsidRDefault="00D16BCE" w:rsidP="00FC2E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bookmarkStart w:id="2" w:name="_Hlk58838805"/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</w:t>
      </w:r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87E0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</w:t>
      </w:r>
      <w:r w:rsidR="00287E08" w:rsidRPr="005B7337">
        <w:rPr>
          <w:rFonts w:ascii="Arial" w:eastAsiaTheme="minorEastAsia" w:hAnsi="Arial" w:cs="Arial"/>
          <w:color w:val="000000"/>
          <w:sz w:val="24"/>
          <w:szCs w:val="24"/>
          <w:lang w:val="sr-Latn-ME" w:eastAsia="en-GB"/>
        </w:rPr>
        <w:t>čn</w:t>
      </w:r>
      <w:r w:rsidR="00A847D9" w:rsidRPr="005B7337">
        <w:rPr>
          <w:rFonts w:ascii="Arial" w:eastAsiaTheme="minorEastAsia" w:hAnsi="Arial" w:cs="Arial"/>
          <w:color w:val="000000"/>
          <w:sz w:val="24"/>
          <w:szCs w:val="24"/>
          <w:lang w:val="sr-Latn-ME" w:eastAsia="en-GB"/>
        </w:rPr>
        <w:t>og</w:t>
      </w:r>
      <w:proofErr w:type="spellEnd"/>
      <w:r w:rsidR="00FC2EF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EF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FC2EF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EF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D74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bookmarkEnd w:id="2"/>
      <w:proofErr w:type="spellStart"/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</w:p>
    <w:p w14:paraId="06D2B27C" w14:textId="0F38700B" w:rsidR="00616A25" w:rsidRDefault="005F7E21" w:rsidP="005E5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bookmarkStart w:id="3" w:name="_Hlk58930491"/>
      <w:proofErr w:type="spellStart"/>
      <w:r w:rsidRPr="006555B8">
        <w:rPr>
          <w:rFonts w:ascii="Arial" w:eastAsiaTheme="minorEastAsia" w:hAnsi="Arial" w:cs="Arial"/>
          <w:sz w:val="24"/>
          <w:szCs w:val="24"/>
          <w:lang w:eastAsia="en-GB"/>
        </w:rPr>
        <w:t>Dodjel</w:t>
      </w:r>
      <w:r w:rsidR="00445887" w:rsidRPr="006555B8">
        <w:rPr>
          <w:rFonts w:ascii="Arial" w:eastAsiaTheme="minorEastAsia" w:hAnsi="Arial" w:cs="Arial"/>
          <w:sz w:val="24"/>
          <w:szCs w:val="24"/>
          <w:lang w:eastAsia="en-GB"/>
        </w:rPr>
        <w:t>u</w:t>
      </w:r>
      <w:proofErr w:type="spellEnd"/>
      <w:r w:rsidRPr="006555B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36DDC" w:rsidRPr="006555B8">
        <w:rPr>
          <w:rFonts w:ascii="Arial" w:eastAsiaTheme="minorEastAsia" w:hAnsi="Arial" w:cs="Arial"/>
          <w:sz w:val="24"/>
          <w:szCs w:val="24"/>
          <w:lang w:eastAsia="en-GB"/>
        </w:rPr>
        <w:t>koeficijenta</w:t>
      </w:r>
      <w:proofErr w:type="spellEnd"/>
      <w:r w:rsidR="00736DDC" w:rsidRPr="006555B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36DDC" w:rsidRPr="006555B8">
        <w:rPr>
          <w:rFonts w:ascii="Arial" w:eastAsiaTheme="minorEastAsia" w:hAnsi="Arial" w:cs="Arial"/>
          <w:sz w:val="24"/>
          <w:szCs w:val="24"/>
          <w:lang w:eastAsia="en-GB"/>
        </w:rPr>
        <w:t>zbirnog</w:t>
      </w:r>
      <w:proofErr w:type="spellEnd"/>
      <w:r w:rsidR="00736DDC" w:rsidRPr="006555B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36DDC" w:rsidRPr="006555B8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="00736DDC" w:rsidRPr="006555B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16A25" w:rsidRPr="006555B8">
        <w:rPr>
          <w:rFonts w:ascii="Arial" w:eastAsiaTheme="minorEastAsia" w:hAnsi="Arial" w:cs="Arial"/>
          <w:sz w:val="24"/>
          <w:szCs w:val="24"/>
          <w:lang w:eastAsia="en-GB"/>
        </w:rPr>
        <w:t>pojedinoj</w:t>
      </w:r>
      <w:proofErr w:type="spellEnd"/>
      <w:r w:rsidR="00616A25" w:rsidRPr="006555B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16A25" w:rsidRPr="006555B8">
        <w:rPr>
          <w:rFonts w:ascii="Arial" w:eastAsiaTheme="minorEastAsia" w:hAnsi="Arial" w:cs="Arial"/>
          <w:sz w:val="24"/>
          <w:szCs w:val="24"/>
          <w:lang w:eastAsia="en-GB"/>
        </w:rPr>
        <w:t>kreditnoj</w:t>
      </w:r>
      <w:proofErr w:type="spellEnd"/>
      <w:r w:rsidR="00616A25" w:rsidRPr="006555B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16A25" w:rsidRPr="006555B8">
        <w:rPr>
          <w:rFonts w:ascii="Arial" w:eastAsiaTheme="minorEastAsia" w:hAnsi="Arial" w:cs="Arial"/>
          <w:sz w:val="24"/>
          <w:szCs w:val="24"/>
          <w:lang w:eastAsia="en-GB"/>
        </w:rPr>
        <w:t>instituciji</w:t>
      </w:r>
      <w:proofErr w:type="spellEnd"/>
      <w:r w:rsidR="00616A25" w:rsidRPr="006555B8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032F1F6E" w14:textId="77777777" w:rsidR="00D92BC2" w:rsidRPr="006555B8" w:rsidRDefault="00D92BC2" w:rsidP="00D92BC2">
      <w:pPr>
        <w:pStyle w:val="ListParagraph"/>
        <w:autoSpaceDE w:val="0"/>
        <w:autoSpaceDN w:val="0"/>
        <w:adjustRightInd w:val="0"/>
        <w:spacing w:before="200" w:after="200" w:line="240" w:lineRule="auto"/>
        <w:ind w:left="108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bookmarkEnd w:id="3"/>
    <w:p w14:paraId="42BA60CA" w14:textId="4B7DEC7B" w:rsidR="005E532F" w:rsidRPr="005B7337" w:rsidRDefault="005E532F" w:rsidP="005E532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Kategorije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</w:p>
    <w:p w14:paraId="7A3FB0CD" w14:textId="2097A354" w:rsidR="00974F7C" w:rsidRPr="005B7337" w:rsidRDefault="00974F7C" w:rsidP="00974F7C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6</w:t>
      </w:r>
    </w:p>
    <w:p w14:paraId="6024CDD3" w14:textId="4F9B13DE" w:rsidR="00974F7C" w:rsidRPr="005B7337" w:rsidRDefault="007F0079" w:rsidP="00236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</w:t>
      </w:r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F7E2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ocjene</w:t>
      </w:r>
      <w:proofErr w:type="spellEnd"/>
      <w:r w:rsidR="005F7E2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</w:t>
      </w:r>
      <w:r w:rsidR="00D62EF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364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</w:t>
      </w:r>
      <w:r w:rsidR="00D62EF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2364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364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</w:t>
      </w:r>
      <w:r w:rsidR="00D62EF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2364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364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zasniva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nizu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847D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osnovnih</w:t>
      </w:r>
      <w:proofErr w:type="spellEnd"/>
      <w:r w:rsidR="00A847D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svake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sljedećih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kategorija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: </w:t>
      </w:r>
    </w:p>
    <w:p w14:paraId="335A5226" w14:textId="00C0B424" w:rsidR="00974F7C" w:rsidRPr="005B7337" w:rsidRDefault="005E532F" w:rsidP="00CF28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Kapital </w:t>
      </w:r>
    </w:p>
    <w:p w14:paraId="5D468BA6" w14:textId="4780013C" w:rsidR="00974F7C" w:rsidRPr="005B7337" w:rsidRDefault="005E532F" w:rsidP="00CF28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Likvidnost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izvori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finan</w:t>
      </w:r>
      <w:r w:rsidR="00FE053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iranja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1BD19F29" w14:textId="119299F2" w:rsidR="00974F7C" w:rsidRPr="005B7337" w:rsidRDefault="005E532F" w:rsidP="00CF28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Kvalitet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imovine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7BCDB136" w14:textId="7B912FD6" w:rsidR="00974F7C" w:rsidRPr="005B7337" w:rsidRDefault="005E532F" w:rsidP="00CF28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model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upravljanje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65BC63FC" w14:textId="7184C975" w:rsidR="00236404" w:rsidRPr="005B7337" w:rsidRDefault="005E532F" w:rsidP="00CF28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Mogući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gubici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r w:rsidR="00401B0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</w:t>
      </w:r>
    </w:p>
    <w:p w14:paraId="58B2D076" w14:textId="77777777" w:rsidR="00401B0C" w:rsidRPr="005B7337" w:rsidRDefault="00401B0C" w:rsidP="00236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08D7188A" w14:textId="0E1D1F98" w:rsidR="00401B0C" w:rsidRPr="005B7337" w:rsidRDefault="009C5369" w:rsidP="00401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</w:t>
      </w:r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ategorije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E532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osnovni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pokazatelji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E053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pripadajući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koeficijenti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primjenjuju</w:t>
      </w:r>
      <w:proofErr w:type="spellEnd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01B0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401B0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01B0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sljedeći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</w:t>
      </w:r>
      <w:proofErr w:type="spellEnd"/>
      <w:r w:rsidR="00401B0C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tbl>
      <w:tblPr>
        <w:tblStyle w:val="GridTable7Colorful-Accent6"/>
        <w:tblW w:w="10181" w:type="dxa"/>
        <w:tblBorders>
          <w:top w:val="thickThinLargeGap" w:sz="2" w:space="0" w:color="FFFFFF" w:themeColor="background1"/>
          <w:left w:val="thickThinLargeGap" w:sz="2" w:space="0" w:color="FFFFFF" w:themeColor="background1"/>
          <w:bottom w:val="thickThinLargeGap" w:sz="2" w:space="0" w:color="FFFFFF" w:themeColor="background1"/>
          <w:right w:val="thickThinLargeGap" w:sz="2" w:space="0" w:color="FFFFFF" w:themeColor="background1"/>
          <w:insideH w:val="thickThinLargeGap" w:sz="2" w:space="0" w:color="FFFFFF" w:themeColor="background1"/>
          <w:insideV w:val="thickThinLargeGap" w:sz="2" w:space="0" w:color="FFFFFF" w:themeColor="background1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392"/>
        <w:gridCol w:w="3119"/>
        <w:gridCol w:w="1984"/>
      </w:tblGrid>
      <w:tr w:rsidR="009207F3" w:rsidRPr="00413218" w14:paraId="790B6BAB" w14:textId="3CDFC8A3" w:rsidTr="001A3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</w:tcPr>
          <w:p w14:paraId="0CFC9BB7" w14:textId="57E171E9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jc w:val="center"/>
              <w:rPr>
                <w:rFonts w:ascii="Arial" w:eastAsiaTheme="minorEastAsia" w:hAnsi="Arial" w:cs="Arial"/>
                <w:bCs w:val="0"/>
                <w:iCs w:val="0"/>
                <w:color w:val="auto"/>
                <w:sz w:val="20"/>
                <w:szCs w:val="20"/>
                <w:lang w:val="en-US" w:eastAsia="en-GB"/>
              </w:rPr>
            </w:pPr>
            <w:bookmarkStart w:id="4" w:name="_Hlk59658174"/>
            <w:proofErr w:type="spellStart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>Kategorije</w:t>
            </w:r>
            <w:proofErr w:type="spellEnd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>rizika</w:t>
            </w:r>
            <w:proofErr w:type="spellEnd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>i</w:t>
            </w:r>
            <w:proofErr w:type="spellEnd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>osnovni</w:t>
            </w:r>
            <w:proofErr w:type="spellEnd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>pokazatelji</w:t>
            </w:r>
            <w:proofErr w:type="spellEnd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color w:val="auto"/>
                <w:sz w:val="20"/>
                <w:szCs w:val="20"/>
                <w:lang w:val="en-US" w:eastAsia="en-GB"/>
              </w:rPr>
              <w:t>rizika</w:t>
            </w:r>
            <w:proofErr w:type="spellEnd"/>
          </w:p>
        </w:tc>
        <w:tc>
          <w:tcPr>
            <w:tcW w:w="13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</w:tcPr>
          <w:p w14:paraId="4569E5F6" w14:textId="1F91CB3E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 w:val="0"/>
                <w:iCs/>
                <w:color w:val="auto"/>
                <w:sz w:val="20"/>
                <w:szCs w:val="20"/>
                <w:lang w:val="en-US" w:eastAsia="en-GB"/>
              </w:rPr>
            </w:pPr>
            <w:proofErr w:type="spellStart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Koeficijen</w:t>
            </w:r>
            <w:r w:rsidR="006A55EF"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t</w:t>
            </w:r>
            <w:proofErr w:type="spellEnd"/>
          </w:p>
          <w:p w14:paraId="51EE69DC" w14:textId="168AD56A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 w:val="0"/>
                <w:iCs/>
                <w:color w:val="auto"/>
                <w:sz w:val="20"/>
                <w:szCs w:val="20"/>
                <w:lang w:val="en-US" w:eastAsia="en-GB"/>
              </w:rPr>
            </w:pPr>
            <w:proofErr w:type="spellStart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Rizika</w:t>
            </w:r>
            <w:proofErr w:type="spellEnd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 xml:space="preserve"> (KR)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</w:tcPr>
          <w:p w14:paraId="42600778" w14:textId="1CDE4CE0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 w:val="0"/>
                <w:iCs/>
                <w:color w:val="auto"/>
                <w:sz w:val="20"/>
                <w:szCs w:val="20"/>
                <w:lang w:val="en-US" w:eastAsia="en-GB"/>
              </w:rPr>
            </w:pPr>
            <w:proofErr w:type="spellStart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Izračunavanje</w:t>
            </w:r>
            <w:proofErr w:type="spellEnd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 xml:space="preserve">  </w:t>
            </w:r>
            <w:proofErr w:type="spellStart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osnovnih</w:t>
            </w:r>
            <w:proofErr w:type="spellEnd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pokazatelja</w:t>
            </w:r>
            <w:proofErr w:type="spellEnd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rizika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</w:tcPr>
          <w:p w14:paraId="7020F545" w14:textId="1134CD50" w:rsidR="00324759" w:rsidRPr="00CF4A00" w:rsidRDefault="008A0F5E" w:rsidP="00CF4A00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 w:val="0"/>
                <w:iCs/>
                <w:color w:val="auto"/>
                <w:sz w:val="20"/>
                <w:szCs w:val="20"/>
                <w:lang w:val="en-US" w:eastAsia="en-GB"/>
              </w:rPr>
            </w:pPr>
            <w:proofErr w:type="spellStart"/>
            <w:r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O</w:t>
            </w:r>
            <w:r w:rsidR="00324759" w:rsidRPr="00CF4A00">
              <w:rPr>
                <w:rFonts w:ascii="Arial" w:eastAsiaTheme="minorEastAsia" w:hAnsi="Arial" w:cs="Arial"/>
                <w:iCs/>
                <w:color w:val="auto"/>
                <w:sz w:val="20"/>
                <w:szCs w:val="20"/>
                <w:lang w:val="en-US" w:eastAsia="en-GB"/>
              </w:rPr>
              <w:t>pis</w:t>
            </w:r>
            <w:proofErr w:type="spellEnd"/>
          </w:p>
        </w:tc>
      </w:tr>
      <w:tr w:rsidR="00445887" w:rsidRPr="00413218" w14:paraId="0CD726D8" w14:textId="77777777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6921CEB5" w14:textId="34F9EF88" w:rsidR="00445887" w:rsidRPr="00413218" w:rsidRDefault="00445887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iCs w:val="0"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392" w:type="dxa"/>
            <w:shd w:val="clear" w:color="auto" w:fill="F7CAAC" w:themeFill="accent2" w:themeFillTint="66"/>
          </w:tcPr>
          <w:p w14:paraId="5103F20F" w14:textId="7366FDAF" w:rsidR="00445887" w:rsidRPr="00413218" w:rsidRDefault="00445887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1F6A1067" w14:textId="511F1524" w:rsidR="00445887" w:rsidRPr="00413218" w:rsidRDefault="00445887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30408EC" w14:textId="307AD594" w:rsidR="00445887" w:rsidRPr="00413218" w:rsidRDefault="00445887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</w:tr>
      <w:tr w:rsidR="009207F3" w:rsidRPr="00413218" w14:paraId="665FBF9C" w14:textId="3B6E5306" w:rsidTr="001A35D3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1D5ED842" w14:textId="313F2164" w:rsidR="009207F3" w:rsidRPr="00CF4A00" w:rsidRDefault="009207F3" w:rsidP="00227B26">
            <w:pPr>
              <w:widowControl w:val="0"/>
              <w:tabs>
                <w:tab w:val="left" w:pos="418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1</w:t>
            </w:r>
            <w:r w:rsidR="00227B26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</w:tcPr>
          <w:p w14:paraId="5A9B23AF" w14:textId="3887C2DF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Kapital</w:t>
            </w:r>
          </w:p>
        </w:tc>
        <w:tc>
          <w:tcPr>
            <w:tcW w:w="1392" w:type="dxa"/>
            <w:shd w:val="clear" w:color="auto" w:fill="E7E6E6" w:themeFill="background2"/>
          </w:tcPr>
          <w:p w14:paraId="0CB4C3E6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24 %</w:t>
            </w:r>
          </w:p>
        </w:tc>
        <w:tc>
          <w:tcPr>
            <w:tcW w:w="3119" w:type="dxa"/>
            <w:shd w:val="clear" w:color="auto" w:fill="E7E6E6" w:themeFill="background2"/>
          </w:tcPr>
          <w:p w14:paraId="0DCC016F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273E9DE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207F3" w:rsidRPr="00413218" w14:paraId="5F5A3216" w14:textId="03DFB794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0246BE09" w14:textId="77777777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1.1</w:t>
            </w:r>
          </w:p>
        </w:tc>
        <w:tc>
          <w:tcPr>
            <w:tcW w:w="2977" w:type="dxa"/>
            <w:shd w:val="clear" w:color="auto" w:fill="FDF0DB"/>
          </w:tcPr>
          <w:p w14:paraId="6EF50422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Koeficijent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zaduženosti</w:t>
            </w:r>
            <w:proofErr w:type="spellEnd"/>
          </w:p>
        </w:tc>
        <w:tc>
          <w:tcPr>
            <w:tcW w:w="1392" w:type="dxa"/>
            <w:shd w:val="clear" w:color="auto" w:fill="FDF0DB"/>
          </w:tcPr>
          <w:p w14:paraId="48AC7447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12 %</w:t>
            </w:r>
          </w:p>
        </w:tc>
        <w:tc>
          <w:tcPr>
            <w:tcW w:w="3119" w:type="dxa"/>
            <w:shd w:val="clear" w:color="auto" w:fill="FDF0DB"/>
          </w:tcPr>
          <w:p w14:paraId="1AF5B62A" w14:textId="3CA5BF66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kapital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  /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imovina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1984" w:type="dxa"/>
            <w:shd w:val="clear" w:color="auto" w:fill="FDF0DB"/>
          </w:tcPr>
          <w:p w14:paraId="389258A5" w14:textId="6D96A3F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niži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41452F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="0041452F" w:rsidRPr="00FE6818">
              <w:rPr>
                <w:rFonts w:ascii="Arial" w:eastAsiaTheme="minorEastAsia" w:hAnsi="Arial" w:cs="Arial"/>
                <w:b/>
                <w:iCs/>
                <w:color w:val="000000"/>
                <w:sz w:val="18"/>
                <w:szCs w:val="18"/>
                <w:lang w:val="en-US" w:eastAsia="en-GB"/>
              </w:rPr>
              <w:t>(-)</w:t>
            </w:r>
          </w:p>
        </w:tc>
      </w:tr>
      <w:tr w:rsidR="009207F3" w:rsidRPr="00413218" w14:paraId="2E831B63" w14:textId="615F8E67" w:rsidTr="001A35D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2240651D" w14:textId="77777777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1.2</w:t>
            </w:r>
          </w:p>
        </w:tc>
        <w:tc>
          <w:tcPr>
            <w:tcW w:w="2977" w:type="dxa"/>
            <w:shd w:val="clear" w:color="auto" w:fill="FDF0DB"/>
          </w:tcPr>
          <w:p w14:paraId="1B73CB53" w14:textId="6472D406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Koeficijent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solventnosti</w:t>
            </w:r>
            <w:proofErr w:type="spellEnd"/>
          </w:p>
        </w:tc>
        <w:tc>
          <w:tcPr>
            <w:tcW w:w="1392" w:type="dxa"/>
            <w:shd w:val="clear" w:color="auto" w:fill="FDF0DB"/>
          </w:tcPr>
          <w:p w14:paraId="444BF50F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12 %</w:t>
            </w:r>
          </w:p>
        </w:tc>
        <w:tc>
          <w:tcPr>
            <w:tcW w:w="3119" w:type="dxa"/>
            <w:shd w:val="clear" w:color="auto" w:fill="FDF0DB"/>
          </w:tcPr>
          <w:p w14:paraId="31052C59" w14:textId="0BC3A71C" w:rsidR="009207F3" w:rsidRPr="00FE6818" w:rsidRDefault="00CB291E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Sopstvena</w:t>
            </w:r>
            <w:proofErr w:type="spellEnd"/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sredstva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/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</w:t>
            </w:r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kom</w:t>
            </w:r>
            <w:proofErr w:type="spellEnd"/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ponderisana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aktiva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="00E8069B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(</w:t>
            </w:r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RVA) </w:t>
            </w:r>
          </w:p>
        </w:tc>
        <w:tc>
          <w:tcPr>
            <w:tcW w:w="1984" w:type="dxa"/>
            <w:shd w:val="clear" w:color="auto" w:fill="FDF0DB"/>
          </w:tcPr>
          <w:p w14:paraId="29E6E4CE" w14:textId="6014FBB0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niži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8809BB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(-)</w:t>
            </w:r>
          </w:p>
        </w:tc>
      </w:tr>
      <w:tr w:rsidR="009207F3" w:rsidRPr="00413218" w14:paraId="07F00897" w14:textId="19E46F15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76BE829F" w14:textId="5DF0B9D7" w:rsidR="009207F3" w:rsidRPr="00CF4A00" w:rsidRDefault="009207F3" w:rsidP="00227B26">
            <w:pPr>
              <w:widowControl w:val="0"/>
              <w:tabs>
                <w:tab w:val="left" w:pos="418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2</w:t>
            </w:r>
            <w:r w:rsidR="00227B26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</w:tcPr>
          <w:p w14:paraId="05A60FEB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Likvidnost</w:t>
            </w:r>
            <w:proofErr w:type="spellEnd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i</w:t>
            </w:r>
            <w:proofErr w:type="spellEnd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finansiranje</w:t>
            </w:r>
            <w:proofErr w:type="spellEnd"/>
          </w:p>
        </w:tc>
        <w:tc>
          <w:tcPr>
            <w:tcW w:w="1392" w:type="dxa"/>
            <w:shd w:val="clear" w:color="auto" w:fill="E7E6E6" w:themeFill="background2"/>
          </w:tcPr>
          <w:p w14:paraId="4EBD4B1D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24 %</w:t>
            </w:r>
          </w:p>
        </w:tc>
        <w:tc>
          <w:tcPr>
            <w:tcW w:w="3119" w:type="dxa"/>
            <w:shd w:val="clear" w:color="auto" w:fill="E7E6E6" w:themeFill="background2"/>
          </w:tcPr>
          <w:p w14:paraId="4EF77FD6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B862D9A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207F3" w:rsidRPr="00413218" w14:paraId="1F9FF86F" w14:textId="159056E6" w:rsidTr="001A35D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1E864626" w14:textId="77777777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2.1</w:t>
            </w:r>
          </w:p>
        </w:tc>
        <w:tc>
          <w:tcPr>
            <w:tcW w:w="2977" w:type="dxa"/>
            <w:shd w:val="clear" w:color="auto" w:fill="FDF0DB"/>
          </w:tcPr>
          <w:p w14:paraId="203DE99C" w14:textId="7DAA9415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Odnos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likvidnosti</w:t>
            </w:r>
            <w:proofErr w:type="spellEnd"/>
            <w:r w:rsidR="00A7414D" w:rsidRPr="00413218">
              <w:rPr>
                <w:rStyle w:val="FootnoteReference"/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footnoteReference w:id="1"/>
            </w:r>
          </w:p>
        </w:tc>
        <w:tc>
          <w:tcPr>
            <w:tcW w:w="1392" w:type="dxa"/>
            <w:shd w:val="clear" w:color="auto" w:fill="FDF0DB"/>
          </w:tcPr>
          <w:p w14:paraId="0237DC4B" w14:textId="366C9149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12 %</w:t>
            </w:r>
          </w:p>
        </w:tc>
        <w:tc>
          <w:tcPr>
            <w:tcW w:w="3119" w:type="dxa"/>
            <w:shd w:val="clear" w:color="auto" w:fill="FDF0DB"/>
          </w:tcPr>
          <w:p w14:paraId="340ADBD3" w14:textId="63C9CE20" w:rsidR="009207F3" w:rsidRPr="00FE6818" w:rsidRDefault="00CB291E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Li</w:t>
            </w:r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kvidna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aktiva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/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aktiva</w:t>
            </w:r>
            <w:proofErr w:type="spellEnd"/>
          </w:p>
        </w:tc>
        <w:tc>
          <w:tcPr>
            <w:tcW w:w="1984" w:type="dxa"/>
            <w:shd w:val="clear" w:color="auto" w:fill="FDF0DB"/>
          </w:tcPr>
          <w:p w14:paraId="5D626309" w14:textId="16712D0A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niži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8809BB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(-)</w:t>
            </w:r>
          </w:p>
        </w:tc>
      </w:tr>
      <w:tr w:rsidR="009207F3" w:rsidRPr="00413218" w14:paraId="5A3F2ABD" w14:textId="227E33ED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570A8F71" w14:textId="77777777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2.2</w:t>
            </w:r>
          </w:p>
        </w:tc>
        <w:tc>
          <w:tcPr>
            <w:tcW w:w="2977" w:type="dxa"/>
            <w:shd w:val="clear" w:color="auto" w:fill="FDF0DB"/>
          </w:tcPr>
          <w:p w14:paraId="4B2DC914" w14:textId="1997CB64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Prosjek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dekadne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likvidnosti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za XII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mjesec</w:t>
            </w:r>
            <w:proofErr w:type="spellEnd"/>
            <w:r w:rsidR="00A7414D" w:rsidRPr="00413218">
              <w:rPr>
                <w:rStyle w:val="FootnoteReference"/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footnoteReference w:id="2"/>
            </w:r>
          </w:p>
        </w:tc>
        <w:tc>
          <w:tcPr>
            <w:tcW w:w="1392" w:type="dxa"/>
            <w:shd w:val="clear" w:color="auto" w:fill="FDF0DB"/>
          </w:tcPr>
          <w:p w14:paraId="3687D4BD" w14:textId="2010853F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12 %</w:t>
            </w:r>
          </w:p>
        </w:tc>
        <w:tc>
          <w:tcPr>
            <w:tcW w:w="3119" w:type="dxa"/>
            <w:shd w:val="clear" w:color="auto" w:fill="FDF0DB"/>
          </w:tcPr>
          <w:p w14:paraId="13F933A6" w14:textId="1603032E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Prva +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druga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+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treća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Dekadna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likvidnost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za XII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mjesec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/ 3</w:t>
            </w:r>
          </w:p>
        </w:tc>
        <w:tc>
          <w:tcPr>
            <w:tcW w:w="1984" w:type="dxa"/>
            <w:shd w:val="clear" w:color="auto" w:fill="FDF0DB"/>
          </w:tcPr>
          <w:p w14:paraId="5E9AD4E7" w14:textId="60A09EDB" w:rsidR="004E260C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niži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8809BB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(-)</w:t>
            </w:r>
          </w:p>
        </w:tc>
      </w:tr>
      <w:tr w:rsidR="009207F3" w:rsidRPr="00413218" w14:paraId="7A7B2B1A" w14:textId="74E67888" w:rsidTr="001A35D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445780C8" w14:textId="77165601" w:rsidR="009207F3" w:rsidRPr="00CF4A00" w:rsidRDefault="009207F3" w:rsidP="00227B26">
            <w:pPr>
              <w:widowControl w:val="0"/>
              <w:tabs>
                <w:tab w:val="left" w:pos="418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3</w:t>
            </w:r>
            <w:r w:rsidR="00227B26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</w:tcPr>
          <w:p w14:paraId="6BF4569D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Kvalitet</w:t>
            </w:r>
            <w:proofErr w:type="spellEnd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imovine</w:t>
            </w:r>
            <w:proofErr w:type="spellEnd"/>
          </w:p>
        </w:tc>
        <w:tc>
          <w:tcPr>
            <w:tcW w:w="1392" w:type="dxa"/>
            <w:shd w:val="clear" w:color="auto" w:fill="E7E6E6" w:themeFill="background2"/>
          </w:tcPr>
          <w:p w14:paraId="17ABBCB3" w14:textId="57D284D0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22%</w:t>
            </w:r>
          </w:p>
        </w:tc>
        <w:tc>
          <w:tcPr>
            <w:tcW w:w="3119" w:type="dxa"/>
            <w:shd w:val="clear" w:color="auto" w:fill="E7E6E6" w:themeFill="background2"/>
          </w:tcPr>
          <w:p w14:paraId="3272D5A7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48AAF8B6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C90367" w:rsidRPr="00413218" w14:paraId="2D70EEA4" w14:textId="77777777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15749CA5" w14:textId="77777777" w:rsidR="00C90367" w:rsidRPr="00CF4A00" w:rsidRDefault="00C90367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3.1</w:t>
            </w:r>
          </w:p>
          <w:p w14:paraId="5B065AAE" w14:textId="77777777" w:rsidR="00C90367" w:rsidRPr="00CF4A00" w:rsidRDefault="00C90367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/>
                <w:iCs w:val="0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  <w:shd w:val="clear" w:color="auto" w:fill="FDF0DB"/>
          </w:tcPr>
          <w:p w14:paraId="02512AC8" w14:textId="71A88790" w:rsidR="00C90367" w:rsidRPr="00413218" w:rsidRDefault="00C90367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Koeficijent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ne</w:t>
            </w:r>
            <w:r w:rsidR="00CB291E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kvalitetnih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kredita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(NPL ratio) </w:t>
            </w:r>
          </w:p>
          <w:p w14:paraId="1DD1B575" w14:textId="7EE2EE6E" w:rsidR="00C90367" w:rsidRPr="00413218" w:rsidRDefault="00C90367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92" w:type="dxa"/>
            <w:shd w:val="clear" w:color="auto" w:fill="FDF0DB"/>
          </w:tcPr>
          <w:p w14:paraId="1405C6FE" w14:textId="77777777" w:rsidR="00C90367" w:rsidRPr="00413218" w:rsidRDefault="00C90367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13 %</w:t>
            </w:r>
          </w:p>
          <w:p w14:paraId="112B00BB" w14:textId="77777777" w:rsidR="00C90367" w:rsidRPr="00413218" w:rsidRDefault="00C90367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119" w:type="dxa"/>
            <w:shd w:val="clear" w:color="auto" w:fill="FDF0DB"/>
          </w:tcPr>
          <w:p w14:paraId="39C7B464" w14:textId="62E1DF82" w:rsidR="00C90367" w:rsidRPr="00FE6818" w:rsidRDefault="00C90367" w:rsidP="00413218">
            <w:pPr>
              <w:widowControl w:val="0"/>
              <w:tabs>
                <w:tab w:val="left" w:pos="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bruto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C, D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E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krediti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potraživanja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minus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vremenska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razgraničenja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avansi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kamate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/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bruto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krediti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potraživanja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minus 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vremenska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razgraničenja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kamate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1984" w:type="dxa"/>
            <w:shd w:val="clear" w:color="auto" w:fill="FDF0DB"/>
          </w:tcPr>
          <w:p w14:paraId="030EAE88" w14:textId="77777777" w:rsidR="00C90367" w:rsidRPr="00FE6818" w:rsidRDefault="00C90367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(+)</w:t>
            </w:r>
          </w:p>
          <w:p w14:paraId="3D602B7B" w14:textId="77777777" w:rsidR="00C90367" w:rsidRPr="00FE6818" w:rsidRDefault="00C90367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207F3" w:rsidRPr="00413218" w14:paraId="2D047721" w14:textId="621428F8" w:rsidTr="001A35D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540788EF" w14:textId="77777777" w:rsidR="00C90367" w:rsidRPr="00CF4A00" w:rsidRDefault="00C90367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</w:p>
          <w:p w14:paraId="4142C79A" w14:textId="473193FF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3.2</w:t>
            </w:r>
          </w:p>
          <w:p w14:paraId="62317091" w14:textId="39F039E9" w:rsidR="00A7414D" w:rsidRPr="00CF4A00" w:rsidRDefault="00A7414D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  <w:shd w:val="clear" w:color="auto" w:fill="FDF0DB"/>
          </w:tcPr>
          <w:p w14:paraId="41CA4662" w14:textId="63D429D3" w:rsidR="00A7414D" w:rsidRPr="00413218" w:rsidRDefault="00CB291E" w:rsidP="00A416C2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P</w:t>
            </w:r>
            <w:r w:rsidR="00FE0535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okrivenosti</w:t>
            </w:r>
            <w:proofErr w:type="spellEnd"/>
            <w:r w:rsidR="009207F3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2A2A32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ne</w:t>
            </w:r>
            <w:r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kvalitetnih</w:t>
            </w:r>
            <w:proofErr w:type="spellEnd"/>
            <w:r w:rsidR="002A2A32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2A2A32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kredita</w:t>
            </w:r>
            <w:proofErr w:type="spellEnd"/>
            <w:r w:rsidR="002A2A32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ukupnim</w:t>
            </w:r>
            <w:proofErr w:type="spellEnd"/>
            <w:r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FE0535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ispravkama</w:t>
            </w:r>
            <w:proofErr w:type="spellEnd"/>
            <w:r w:rsidR="00FE0535"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E8069B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vrijednosti</w:t>
            </w:r>
            <w:proofErr w:type="spellEnd"/>
          </w:p>
        </w:tc>
        <w:tc>
          <w:tcPr>
            <w:tcW w:w="1392" w:type="dxa"/>
            <w:shd w:val="clear" w:color="auto" w:fill="FDF0DB"/>
          </w:tcPr>
          <w:p w14:paraId="4A12EE8E" w14:textId="77777777" w:rsidR="00A7414D" w:rsidRPr="00413218" w:rsidRDefault="00A7414D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</w:p>
          <w:p w14:paraId="07FAF665" w14:textId="196CB415" w:rsidR="00A7414D" w:rsidRPr="00413218" w:rsidRDefault="009207F3" w:rsidP="00A416C2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9%</w:t>
            </w:r>
          </w:p>
        </w:tc>
        <w:tc>
          <w:tcPr>
            <w:tcW w:w="3119" w:type="dxa"/>
            <w:shd w:val="clear" w:color="auto" w:fill="FDF0DB"/>
          </w:tcPr>
          <w:p w14:paraId="41CB3D89" w14:textId="7A4556CD" w:rsidR="00A7414D" w:rsidRPr="00FE6818" w:rsidRDefault="00FE0535" w:rsidP="00A416C2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Ukupne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ispravke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za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kredite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potraživanja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/ C, D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E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krediti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potraživanja</w:t>
            </w:r>
            <w:proofErr w:type="spellEnd"/>
          </w:p>
        </w:tc>
        <w:tc>
          <w:tcPr>
            <w:tcW w:w="1984" w:type="dxa"/>
            <w:shd w:val="clear" w:color="auto" w:fill="FDF0DB"/>
          </w:tcPr>
          <w:p w14:paraId="3A749D8B" w14:textId="52CB56A5" w:rsidR="00A7414D" w:rsidRPr="00FE6818" w:rsidRDefault="009207F3" w:rsidP="00A416C2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niži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8809BB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(-)</w:t>
            </w:r>
          </w:p>
        </w:tc>
      </w:tr>
      <w:tr w:rsidR="009207F3" w:rsidRPr="00CF4A00" w14:paraId="2A86E3D4" w14:textId="26CCA31B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1F5AF5F9" w14:textId="77777777" w:rsidR="009207F3" w:rsidRPr="00CF4A00" w:rsidRDefault="009207F3" w:rsidP="00227B26">
            <w:pPr>
              <w:widowControl w:val="0"/>
              <w:tabs>
                <w:tab w:val="left" w:pos="418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2977" w:type="dxa"/>
            <w:shd w:val="clear" w:color="auto" w:fill="E7E6E6" w:themeFill="background2"/>
          </w:tcPr>
          <w:p w14:paraId="7F9B01C8" w14:textId="77777777" w:rsidR="009207F3" w:rsidRPr="00CF4A00" w:rsidRDefault="009207F3" w:rsidP="00413218">
            <w:pPr>
              <w:widowControl w:val="0"/>
              <w:tabs>
                <w:tab w:val="left" w:pos="418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Poslovni</w:t>
            </w:r>
            <w:proofErr w:type="spellEnd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model </w:t>
            </w:r>
            <w:proofErr w:type="spellStart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i</w:t>
            </w:r>
            <w:proofErr w:type="spellEnd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upravljanje</w:t>
            </w:r>
            <w:proofErr w:type="spellEnd"/>
          </w:p>
        </w:tc>
        <w:tc>
          <w:tcPr>
            <w:tcW w:w="1392" w:type="dxa"/>
            <w:shd w:val="clear" w:color="auto" w:fill="E7E6E6" w:themeFill="background2"/>
          </w:tcPr>
          <w:p w14:paraId="78A05BED" w14:textId="3C014022" w:rsidR="009207F3" w:rsidRPr="00A1797A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auto"/>
                <w:sz w:val="20"/>
                <w:szCs w:val="20"/>
                <w:lang w:val="en-US" w:eastAsia="en-GB"/>
              </w:rPr>
            </w:pPr>
            <w:r w:rsidRPr="00A1797A">
              <w:rPr>
                <w:rFonts w:ascii="Arial" w:eastAsiaTheme="minorEastAsia" w:hAnsi="Arial" w:cs="Arial"/>
                <w:b/>
                <w:iCs/>
                <w:color w:val="auto"/>
                <w:sz w:val="20"/>
                <w:szCs w:val="20"/>
                <w:lang w:val="en-US" w:eastAsia="en-GB"/>
              </w:rPr>
              <w:t>13 %</w:t>
            </w:r>
          </w:p>
        </w:tc>
        <w:tc>
          <w:tcPr>
            <w:tcW w:w="3119" w:type="dxa"/>
            <w:shd w:val="clear" w:color="auto" w:fill="E7E6E6" w:themeFill="background2"/>
          </w:tcPr>
          <w:p w14:paraId="3AF3801E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39A12D6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207F3" w:rsidRPr="00413218" w14:paraId="6BF21634" w14:textId="18D14EEC" w:rsidTr="001A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13DF0932" w14:textId="77777777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4.1</w:t>
            </w:r>
          </w:p>
        </w:tc>
        <w:tc>
          <w:tcPr>
            <w:tcW w:w="2977" w:type="dxa"/>
            <w:shd w:val="clear" w:color="auto" w:fill="FDF0DB"/>
          </w:tcPr>
          <w:p w14:paraId="6E707A16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Gustina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rizika</w:t>
            </w:r>
            <w:proofErr w:type="spellEnd"/>
          </w:p>
        </w:tc>
        <w:tc>
          <w:tcPr>
            <w:tcW w:w="1392" w:type="dxa"/>
            <w:shd w:val="clear" w:color="auto" w:fill="FDF0DB"/>
          </w:tcPr>
          <w:p w14:paraId="6C087D4C" w14:textId="661CB2AE" w:rsidR="009207F3" w:rsidRPr="00A1797A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auto"/>
                <w:sz w:val="20"/>
                <w:szCs w:val="20"/>
                <w:lang w:val="en-US" w:eastAsia="en-GB"/>
              </w:rPr>
            </w:pPr>
            <w:r w:rsidRPr="00A1797A">
              <w:rPr>
                <w:rFonts w:ascii="Arial" w:eastAsiaTheme="minorEastAsia" w:hAnsi="Arial" w:cs="Arial"/>
                <w:bCs/>
                <w:iCs/>
                <w:color w:val="auto"/>
                <w:sz w:val="20"/>
                <w:szCs w:val="20"/>
                <w:lang w:val="en-US" w:eastAsia="en-GB"/>
              </w:rPr>
              <w:t>6,5 %</w:t>
            </w:r>
          </w:p>
        </w:tc>
        <w:tc>
          <w:tcPr>
            <w:tcW w:w="3119" w:type="dxa"/>
            <w:shd w:val="clear" w:color="auto" w:fill="FDF0DB"/>
          </w:tcPr>
          <w:p w14:paraId="1CBBCE9D" w14:textId="426EA69D" w:rsidR="009207F3" w:rsidRPr="00FE6818" w:rsidRDefault="00CB291E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</w:t>
            </w:r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izikom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ponderisana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aktiva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(</w:t>
            </w:r>
            <w:r w:rsidR="005B27EF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RVA</w:t>
            </w:r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) /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aktiva</w:t>
            </w:r>
            <w:proofErr w:type="spellEnd"/>
          </w:p>
        </w:tc>
        <w:tc>
          <w:tcPr>
            <w:tcW w:w="1984" w:type="dxa"/>
            <w:shd w:val="clear" w:color="auto" w:fill="FDF0DB"/>
          </w:tcPr>
          <w:p w14:paraId="30CD6989" w14:textId="6B675F1F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8809BB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(+)</w:t>
            </w:r>
          </w:p>
        </w:tc>
      </w:tr>
      <w:tr w:rsidR="009207F3" w:rsidRPr="00413218" w14:paraId="1193EF95" w14:textId="53567047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414AB96F" w14:textId="77777777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4.2</w:t>
            </w:r>
          </w:p>
        </w:tc>
        <w:tc>
          <w:tcPr>
            <w:tcW w:w="2977" w:type="dxa"/>
            <w:shd w:val="clear" w:color="auto" w:fill="FDF0DB"/>
          </w:tcPr>
          <w:p w14:paraId="6AB8AA91" w14:textId="3EEFACC4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Povraćaj</w:t>
            </w:r>
            <w:proofErr w:type="spellEnd"/>
            <w:r w:rsidR="00E8069B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E8069B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na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prosječn</w:t>
            </w:r>
            <w:r w:rsidR="00E8069B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u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aktiv</w:t>
            </w:r>
            <w:r w:rsidR="00E8069B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u</w:t>
            </w:r>
            <w:proofErr w:type="spellEnd"/>
          </w:p>
        </w:tc>
        <w:tc>
          <w:tcPr>
            <w:tcW w:w="1392" w:type="dxa"/>
            <w:shd w:val="clear" w:color="auto" w:fill="FDF0DB"/>
          </w:tcPr>
          <w:p w14:paraId="4974754F" w14:textId="00200E68" w:rsidR="009207F3" w:rsidRPr="00A1797A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auto"/>
                <w:sz w:val="20"/>
                <w:szCs w:val="20"/>
                <w:lang w:val="en-US" w:eastAsia="en-GB"/>
              </w:rPr>
            </w:pPr>
            <w:r w:rsidRPr="00A1797A">
              <w:rPr>
                <w:rFonts w:ascii="Arial" w:eastAsiaTheme="minorEastAsia" w:hAnsi="Arial" w:cs="Arial"/>
                <w:bCs/>
                <w:iCs/>
                <w:color w:val="auto"/>
                <w:sz w:val="20"/>
                <w:szCs w:val="20"/>
                <w:lang w:val="en-US" w:eastAsia="en-GB"/>
              </w:rPr>
              <w:t>6,5%</w:t>
            </w:r>
          </w:p>
        </w:tc>
        <w:tc>
          <w:tcPr>
            <w:tcW w:w="3119" w:type="dxa"/>
            <w:shd w:val="clear" w:color="auto" w:fill="FDF0DB"/>
          </w:tcPr>
          <w:p w14:paraId="13C5427A" w14:textId="4CF260B0" w:rsidR="009207F3" w:rsidRPr="00FE6818" w:rsidRDefault="00CB291E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Neto</w:t>
            </w:r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profit / (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aktivaT0 +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ukupna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aktiva</w:t>
            </w:r>
            <w:proofErr w:type="spellEnd"/>
            <w:r w:rsidR="009207F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T-1) </w:t>
            </w:r>
            <w:r w:rsidR="006A55EF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/ 2</w:t>
            </w:r>
          </w:p>
        </w:tc>
        <w:tc>
          <w:tcPr>
            <w:tcW w:w="1984" w:type="dxa"/>
            <w:shd w:val="clear" w:color="auto" w:fill="FDF0DB"/>
          </w:tcPr>
          <w:p w14:paraId="361E46E2" w14:textId="7F3B2270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Niž</w:t>
            </w:r>
            <w:r w:rsidR="00D8615E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e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="00FE0535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(</w:t>
            </w:r>
            <w:proofErr w:type="spellStart"/>
            <w:r w:rsidR="00FE0535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="00FE0535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FE0535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</w:t>
            </w:r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egativn</w:t>
            </w:r>
            <w:r w:rsidR="00FE0535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a</w:t>
            </w:r>
            <w:proofErr w:type="spellEnd"/>
            <w:r w:rsidR="00FE0535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)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označavaju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2A2A32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(+)</w:t>
            </w:r>
          </w:p>
        </w:tc>
      </w:tr>
      <w:tr w:rsidR="009207F3" w:rsidRPr="00CF4A00" w14:paraId="0BE85549" w14:textId="429225F1" w:rsidTr="001A35D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735ACF83" w14:textId="77777777" w:rsidR="009207F3" w:rsidRPr="00CF4A00" w:rsidRDefault="009207F3" w:rsidP="00227B26">
            <w:pPr>
              <w:widowControl w:val="0"/>
              <w:tabs>
                <w:tab w:val="left" w:pos="377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2977" w:type="dxa"/>
            <w:shd w:val="clear" w:color="auto" w:fill="E7E6E6" w:themeFill="background2"/>
          </w:tcPr>
          <w:p w14:paraId="7DD7D11E" w14:textId="77777777" w:rsidR="009207F3" w:rsidRPr="00CF4A00" w:rsidRDefault="009207F3" w:rsidP="00413218">
            <w:pPr>
              <w:widowControl w:val="0"/>
              <w:tabs>
                <w:tab w:val="left" w:pos="377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Potencijalni</w:t>
            </w:r>
            <w:proofErr w:type="spellEnd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gubici</w:t>
            </w:r>
            <w:proofErr w:type="spellEnd"/>
            <w:r w:rsidRPr="00CF4A00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za Fond</w:t>
            </w:r>
          </w:p>
        </w:tc>
        <w:tc>
          <w:tcPr>
            <w:tcW w:w="1392" w:type="dxa"/>
            <w:shd w:val="clear" w:color="auto" w:fill="E7E6E6" w:themeFill="background2"/>
          </w:tcPr>
          <w:p w14:paraId="5B7E67E7" w14:textId="77777777" w:rsidR="009207F3" w:rsidRPr="00A1797A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auto"/>
                <w:sz w:val="20"/>
                <w:szCs w:val="20"/>
                <w:lang w:val="en-US" w:eastAsia="en-GB"/>
              </w:rPr>
            </w:pPr>
            <w:r w:rsidRPr="00A1797A">
              <w:rPr>
                <w:rFonts w:ascii="Arial" w:eastAsiaTheme="minorEastAsia" w:hAnsi="Arial" w:cs="Arial"/>
                <w:b/>
                <w:iCs/>
                <w:color w:val="auto"/>
                <w:sz w:val="20"/>
                <w:szCs w:val="20"/>
                <w:lang w:val="en-US" w:eastAsia="en-GB"/>
              </w:rPr>
              <w:t>17 %</w:t>
            </w:r>
          </w:p>
        </w:tc>
        <w:tc>
          <w:tcPr>
            <w:tcW w:w="3119" w:type="dxa"/>
            <w:shd w:val="clear" w:color="auto" w:fill="E7E6E6" w:themeFill="background2"/>
          </w:tcPr>
          <w:p w14:paraId="1B64FA70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7BC66038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207F3" w:rsidRPr="00413218" w14:paraId="3A2AA3A2" w14:textId="0466441A" w:rsidTr="001A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14:paraId="6B1C86A4" w14:textId="77777777" w:rsidR="009207F3" w:rsidRPr="00CF4A00" w:rsidRDefault="009207F3" w:rsidP="00CF4A00">
            <w:pPr>
              <w:widowControl w:val="0"/>
              <w:tabs>
                <w:tab w:val="left" w:pos="418"/>
              </w:tabs>
              <w:spacing w:line="276" w:lineRule="auto"/>
              <w:rPr>
                <w:rFonts w:ascii="Arial" w:eastAsiaTheme="minorEastAsia" w:hAnsi="Arial" w:cs="Arial"/>
                <w:bCs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CF4A0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n-US" w:eastAsia="en-GB"/>
              </w:rPr>
              <w:t>5.1</w:t>
            </w:r>
          </w:p>
        </w:tc>
        <w:tc>
          <w:tcPr>
            <w:tcW w:w="2977" w:type="dxa"/>
            <w:shd w:val="clear" w:color="auto" w:fill="FDF0DB"/>
          </w:tcPr>
          <w:p w14:paraId="40663977" w14:textId="5CD12EEA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Potencijalni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gubi</w:t>
            </w:r>
            <w:r w:rsidR="002A2A32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>ci</w:t>
            </w:r>
            <w:proofErr w:type="spellEnd"/>
            <w:r w:rsidRPr="00413218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za Fond</w:t>
            </w:r>
          </w:p>
        </w:tc>
        <w:tc>
          <w:tcPr>
            <w:tcW w:w="1392" w:type="dxa"/>
            <w:shd w:val="clear" w:color="auto" w:fill="FDF0DB"/>
          </w:tcPr>
          <w:p w14:paraId="2CB755AF" w14:textId="77777777" w:rsidR="009207F3" w:rsidRPr="00A1797A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auto"/>
                <w:sz w:val="20"/>
                <w:szCs w:val="20"/>
                <w:lang w:val="en-US" w:eastAsia="en-GB"/>
              </w:rPr>
            </w:pPr>
            <w:r w:rsidRPr="00A1797A">
              <w:rPr>
                <w:rFonts w:ascii="Arial" w:eastAsiaTheme="minorEastAsia" w:hAnsi="Arial" w:cs="Arial"/>
                <w:bCs/>
                <w:iCs/>
                <w:color w:val="auto"/>
                <w:sz w:val="20"/>
                <w:szCs w:val="20"/>
                <w:lang w:val="en-US" w:eastAsia="en-GB"/>
              </w:rPr>
              <w:t>17 %</w:t>
            </w:r>
          </w:p>
        </w:tc>
        <w:tc>
          <w:tcPr>
            <w:tcW w:w="3119" w:type="dxa"/>
            <w:shd w:val="clear" w:color="auto" w:fill="FDF0DB"/>
          </w:tcPr>
          <w:p w14:paraId="2DEEB88C" w14:textId="037F1D7C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garantovani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A416C2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depozit</w:t>
            </w:r>
            <w:r w:rsidR="002A2A32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</w:t>
            </w:r>
            <w:proofErr w:type="spellEnd"/>
            <w:r w:rsidR="00A416C2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="005821D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/ </w:t>
            </w:r>
            <w:proofErr w:type="spellStart"/>
            <w:r w:rsidR="005821D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neopterećena</w:t>
            </w:r>
            <w:proofErr w:type="spellEnd"/>
            <w:r w:rsidR="005821D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5821D3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imovina</w:t>
            </w:r>
            <w:proofErr w:type="spellEnd"/>
          </w:p>
        </w:tc>
        <w:tc>
          <w:tcPr>
            <w:tcW w:w="1984" w:type="dxa"/>
            <w:shd w:val="clear" w:color="auto" w:fill="FDF0DB"/>
          </w:tcPr>
          <w:p w14:paraId="624F4161" w14:textId="6175CBE9" w:rsidR="009207F3" w:rsidRPr="00FE6818" w:rsidRDefault="00FE0535" w:rsidP="00413218">
            <w:pPr>
              <w:widowControl w:val="0"/>
              <w:tabs>
                <w:tab w:val="left" w:pos="41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highlight w:val="yellow"/>
                <w:lang w:val="en-US" w:eastAsia="en-GB"/>
              </w:rPr>
            </w:pP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vrijednost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označava</w:t>
            </w:r>
            <w:proofErr w:type="spellEnd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="00290289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većii</w:t>
            </w:r>
            <w:proofErr w:type="spellEnd"/>
            <w:r w:rsidR="00290289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rizik</w:t>
            </w:r>
            <w:proofErr w:type="spellEnd"/>
            <w:r w:rsidR="008809BB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 xml:space="preserve"> (</w:t>
            </w:r>
            <w:r w:rsidR="002A2A32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+</w:t>
            </w:r>
            <w:r w:rsidR="008809BB" w:rsidRPr="00FE6818"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</w:tr>
      <w:tr w:rsidR="009207F3" w:rsidRPr="00413218" w14:paraId="5E81862F" w14:textId="158C1F53" w:rsidTr="001A35D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F0DB"/>
          </w:tcPr>
          <w:p w14:paraId="10D4505A" w14:textId="77777777" w:rsidR="009207F3" w:rsidRPr="00413218" w:rsidRDefault="009207F3" w:rsidP="00A416C2">
            <w:pPr>
              <w:widowControl w:val="0"/>
              <w:tabs>
                <w:tab w:val="left" w:pos="418"/>
              </w:tabs>
              <w:spacing w:line="480" w:lineRule="auto"/>
              <w:jc w:val="left"/>
              <w:rPr>
                <w:rFonts w:ascii="Arial" w:eastAsiaTheme="minorEastAsia" w:hAnsi="Arial" w:cs="Arial"/>
                <w:b/>
                <w:iCs w:val="0"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 w:eastAsia="en-GB"/>
              </w:rPr>
              <w:t>Total</w:t>
            </w:r>
          </w:p>
        </w:tc>
        <w:tc>
          <w:tcPr>
            <w:tcW w:w="1392" w:type="dxa"/>
            <w:shd w:val="clear" w:color="auto" w:fill="FDF0DB"/>
          </w:tcPr>
          <w:p w14:paraId="3C1B3FA6" w14:textId="77777777" w:rsidR="009207F3" w:rsidRPr="004132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413218">
              <w:rPr>
                <w:rFonts w:ascii="Arial" w:eastAsiaTheme="minorEastAsia" w:hAnsi="Arial" w:cs="Arial"/>
                <w:b/>
                <w:iCs/>
                <w:color w:val="000000"/>
                <w:sz w:val="20"/>
                <w:szCs w:val="20"/>
                <w:lang w:val="en-US" w:eastAsia="en-GB"/>
              </w:rPr>
              <w:t>100 %</w:t>
            </w:r>
          </w:p>
        </w:tc>
        <w:tc>
          <w:tcPr>
            <w:tcW w:w="3119" w:type="dxa"/>
            <w:shd w:val="clear" w:color="auto" w:fill="FDF0DB"/>
          </w:tcPr>
          <w:p w14:paraId="7C658A8F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984" w:type="dxa"/>
            <w:shd w:val="clear" w:color="auto" w:fill="FDF0DB"/>
          </w:tcPr>
          <w:p w14:paraId="3B9A7B02" w14:textId="77777777" w:rsidR="009207F3" w:rsidRPr="00FE6818" w:rsidRDefault="009207F3" w:rsidP="00413218">
            <w:pPr>
              <w:widowControl w:val="0"/>
              <w:tabs>
                <w:tab w:val="left" w:pos="41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</w:tbl>
    <w:bookmarkEnd w:id="4"/>
    <w:p w14:paraId="0DB2A24F" w14:textId="75B299E6" w:rsidR="00AD74E3" w:rsidRPr="005B7337" w:rsidRDefault="00AD74E3" w:rsidP="00A271FE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Ocjena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pojedinač</w:t>
      </w:r>
      <w:r w:rsidR="00A847D9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nog</w:t>
      </w:r>
      <w:proofErr w:type="spellEnd"/>
      <w:r w:rsidR="00A847D9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</w:p>
    <w:p w14:paraId="15202AA3" w14:textId="0A2FA35B" w:rsidR="008B5C10" w:rsidRPr="005B7337" w:rsidRDefault="008B5C10" w:rsidP="00A271FE">
      <w:pPr>
        <w:shd w:val="clear" w:color="auto" w:fill="FFFFFF"/>
        <w:spacing w:after="200" w:line="360" w:lineRule="atLeast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bookmarkStart w:id="5" w:name="_Hlk58925131"/>
      <w:proofErr w:type="spellStart"/>
      <w:r w:rsidRPr="005B7337">
        <w:rPr>
          <w:rFonts w:ascii="Arial" w:eastAsia="Calibri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B733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="00DF5FA0" w:rsidRPr="005B7337">
        <w:rPr>
          <w:rFonts w:ascii="Arial" w:eastAsia="Calibri" w:hAnsi="Arial" w:cs="Arial"/>
          <w:b/>
          <w:bCs/>
          <w:sz w:val="24"/>
          <w:szCs w:val="24"/>
          <w:lang w:val="en-US"/>
        </w:rPr>
        <w:t>7</w:t>
      </w:r>
    </w:p>
    <w:p w14:paraId="143C5461" w14:textId="73AB1FF3" w:rsidR="00AF3375" w:rsidRPr="005B7337" w:rsidRDefault="005B27EF" w:rsidP="001F7E51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</w:t>
      </w:r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a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članicu</w:t>
      </w:r>
      <w:proofErr w:type="spellEnd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zaštite</w:t>
      </w:r>
      <w:proofErr w:type="spellEnd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za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bookmarkStart w:id="6" w:name="_Hlk59450309"/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ima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utvrdjenu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prosječnu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nivou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crnogorskog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bankarskog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C41C8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istema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50)</w:t>
      </w:r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dod</w:t>
      </w:r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jeljenu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gornju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  <w:bookmarkEnd w:id="6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6BB5579F" w14:textId="395910ED" w:rsidR="00772E01" w:rsidRPr="005B7337" w:rsidRDefault="00EF79F2" w:rsidP="00772E01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</w:t>
      </w:r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ranice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određuju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odražavaju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kako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trenutnu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situaciju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tako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C462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trendove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prisutne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bankarskom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sistemu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istovremeno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uvažavajući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makroekonomsko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okruženje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C462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poslovnu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logiku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bez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obzira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istorijske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podatke</w:t>
      </w:r>
      <w:proofErr w:type="spellEnd"/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.</w:t>
      </w:r>
    </w:p>
    <w:p w14:paraId="697DC356" w14:textId="06F5973B" w:rsidR="00AF3375" w:rsidRPr="005B7337" w:rsidRDefault="00AF3375" w:rsidP="001F7E51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Kada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veća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označava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rizičniju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iznad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gornje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biti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fiksna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100.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Slično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tome,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kada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niža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biti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0.</w:t>
      </w:r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18BB99A1" w14:textId="70BC924E" w:rsidR="00AF3375" w:rsidRPr="005B7337" w:rsidRDefault="008661E4" w:rsidP="001F7E51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niži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označava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rizičniju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576D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</w:t>
      </w:r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="005576D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</w:t>
      </w:r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ituaciju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ispod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donje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granice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biti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fiksna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100.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tome,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kada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iznad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gornje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granice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772E0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biti</w:t>
      </w:r>
      <w:proofErr w:type="spellEnd"/>
      <w:r w:rsidR="00AF3375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0. </w:t>
      </w:r>
    </w:p>
    <w:p w14:paraId="700171BA" w14:textId="41BA0B8D" w:rsidR="00AF3375" w:rsidRPr="005B7337" w:rsidRDefault="00AF3375" w:rsidP="001F7E51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predznaka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definisanog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koloni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4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tabele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člana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6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stav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ove</w:t>
      </w:r>
      <w:proofErr w:type="spellEnd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45887" w:rsidRP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vidljivo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da li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veća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označava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veći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ili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obratno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609A9C72" w14:textId="0D45A94F" w:rsidR="00A847D9" w:rsidRPr="005B7337" w:rsidRDefault="00AF3375" w:rsidP="001F7E51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Ako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između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utvrđenih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kretati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između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0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100.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576D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5576D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ima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unaprijed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</w:t>
      </w:r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jen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definisan</w:t>
      </w:r>
      <w:proofErr w:type="spellEnd"/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koloni</w:t>
      </w:r>
      <w:proofErr w:type="spellEnd"/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 </w:t>
      </w:r>
      <w:proofErr w:type="spellStart"/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tabele</w:t>
      </w:r>
      <w:proofErr w:type="spellEnd"/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</w:t>
      </w:r>
      <w:r w:rsidR="004458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6 </w:t>
      </w:r>
      <w:proofErr w:type="spellStart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stav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 </w:t>
      </w:r>
      <w:proofErr w:type="spellStart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ove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metodologije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 </w:t>
      </w:r>
    </w:p>
    <w:bookmarkEnd w:id="5"/>
    <w:p w14:paraId="35B26290" w14:textId="610E3843" w:rsidR="00AC36E3" w:rsidRDefault="004C3E61" w:rsidP="00AC36E3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</w:t>
      </w:r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ocjenu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A614D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="003A614D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</w:t>
      </w:r>
      <w:proofErr w:type="spellEnd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svaki</w:t>
      </w:r>
      <w:proofErr w:type="spellEnd"/>
      <w:r w:rsidR="005F7E2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F7E2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osnovni</w:t>
      </w:r>
      <w:proofErr w:type="spellEnd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pokazetelj</w:t>
      </w:r>
      <w:proofErr w:type="spellEnd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AC36E3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obračunskoj</w:t>
      </w:r>
      <w:proofErr w:type="spellEnd"/>
      <w:r w:rsidR="00AC36E3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godini</w:t>
      </w:r>
      <w:proofErr w:type="spellEnd"/>
      <w:r w:rsidR="001F7E51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AC36E3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utvrdjuje</w:t>
      </w:r>
      <w:proofErr w:type="spellEnd"/>
      <w:r w:rsidR="00AC36E3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6555B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prosječn</w:t>
      </w:r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 w:rsidR="001F7E5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nivou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crnogorskog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bankarskog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r w:rsidR="00AC36E3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="00AC36E3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prethodnu</w:t>
      </w:r>
      <w:proofErr w:type="spellEnd"/>
      <w:r w:rsidR="00AC36E3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ili</w:t>
      </w:r>
      <w:proofErr w:type="spellEnd"/>
      <w:r w:rsidR="00A373B4" w:rsidRPr="00A373B4">
        <w:t xml:space="preserve"> </w:t>
      </w:r>
      <w:proofErr w:type="spellStart"/>
      <w:r w:rsidR="00A373B4" w:rsidRP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dvije</w:t>
      </w:r>
      <w:proofErr w:type="spellEnd"/>
      <w:r w:rsidR="00A373B4" w:rsidRP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373B4" w:rsidRP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uzastopne</w:t>
      </w:r>
      <w:proofErr w:type="spellEnd"/>
      <w:r w:rsidR="00A373B4" w:rsidRP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373B4" w:rsidRP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poslovne</w:t>
      </w:r>
      <w:proofErr w:type="spellEnd"/>
      <w:r w:rsidR="00A373B4" w:rsidRP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373B4" w:rsidRP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F79F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pristupa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kalibraciji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donje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gornje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granice</w:t>
      </w:r>
      <w:proofErr w:type="spellEnd"/>
      <w:r w:rsidR="00AC36E3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335E19C5" w14:textId="5A0DB5AD" w:rsidR="0056609F" w:rsidRPr="008661E4" w:rsidRDefault="00445887" w:rsidP="008661E4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lastRenderedPageBreak/>
        <w:t>Kad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regulativom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nije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81F9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ustanovljena</w:t>
      </w:r>
      <w:proofErr w:type="spellEnd"/>
      <w:r w:rsidR="00A81F9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81F9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donja</w:t>
      </w:r>
      <w:proofErr w:type="spellEnd"/>
      <w:r w:rsidR="00A81F9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A81F9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donja</w:t>
      </w:r>
      <w:proofErr w:type="spellEnd"/>
      <w:r w:rsidR="00A81F9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određuje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nivou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20%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prosječne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nivou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dok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gornja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određuje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nivou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prosječne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uvećane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80%. Na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ovaj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granice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(</w:t>
      </w:r>
      <w:proofErr w:type="spellStart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budući</w:t>
      </w:r>
      <w:proofErr w:type="spellEnd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se </w:t>
      </w:r>
      <w:proofErr w:type="spellStart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prosjek</w:t>
      </w:r>
      <w:proofErr w:type="spellEnd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kao</w:t>
      </w:r>
      <w:proofErr w:type="spellEnd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ocjena</w:t>
      </w:r>
      <w:proofErr w:type="spellEnd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= </w:t>
      </w:r>
      <w:r w:rsidR="00CE7471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50)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automatski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prilagođavaju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promjenama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načinu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poslovanja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bankarskog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F7E2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takođe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obuhvata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dovoljan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broj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unutar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 w:rsidR="00CE747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  <w:bookmarkStart w:id="7" w:name="_Hlk59781150"/>
      <w:r w:rsid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90367" w:rsidRPr="005B27EF">
        <w:rPr>
          <w:rFonts w:ascii="Arial" w:eastAsiaTheme="minorEastAsia" w:hAnsi="Arial" w:cs="Arial"/>
          <w:sz w:val="24"/>
          <w:szCs w:val="24"/>
          <w:lang w:eastAsia="en-GB"/>
        </w:rPr>
        <w:t>Primjer</w:t>
      </w:r>
      <w:proofErr w:type="spellEnd"/>
      <w:r w:rsidR="00C90367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90367" w:rsidRPr="005B27EF">
        <w:rPr>
          <w:rFonts w:ascii="Arial" w:eastAsiaTheme="minorEastAsia" w:hAnsi="Arial" w:cs="Arial"/>
          <w:sz w:val="24"/>
          <w:szCs w:val="24"/>
          <w:lang w:eastAsia="en-GB"/>
        </w:rPr>
        <w:t>izračunavanja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donje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gornje</w:t>
      </w:r>
      <w:proofErr w:type="spellEnd"/>
      <w:r w:rsidR="00C90367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90367" w:rsidRPr="005B27EF">
        <w:rPr>
          <w:rFonts w:ascii="Arial" w:eastAsiaTheme="minorEastAsia" w:hAnsi="Arial" w:cs="Arial"/>
          <w:sz w:val="24"/>
          <w:szCs w:val="24"/>
          <w:lang w:eastAsia="en-GB"/>
        </w:rPr>
        <w:t>granic</w:t>
      </w:r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kada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regulativom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nije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ustanovljena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donja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dat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je u </w:t>
      </w:r>
      <w:proofErr w:type="spellStart"/>
      <w:r w:rsidR="008661E4">
        <w:rPr>
          <w:rFonts w:ascii="Arial" w:eastAsiaTheme="minorEastAsia" w:hAnsi="Arial" w:cs="Arial"/>
          <w:sz w:val="24"/>
          <w:szCs w:val="24"/>
          <w:lang w:eastAsia="en-GB"/>
        </w:rPr>
        <w:t>P</w:t>
      </w:r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rilogu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1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ove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metodologije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B135A" w:rsidRPr="005B27EF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čini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njen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sastavni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dio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.</w:t>
      </w:r>
      <w:bookmarkEnd w:id="7"/>
    </w:p>
    <w:p w14:paraId="00F136F1" w14:textId="3AAEA7C1" w:rsidR="005B27EF" w:rsidRPr="008661E4" w:rsidRDefault="00934AD6" w:rsidP="008661E4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Kada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regulativom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ustanovljen</w:t>
      </w:r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donja</w:t>
      </w:r>
      <w:proofErr w:type="spellEnd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pojedinačnog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- minimum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npr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solventnost</w:t>
      </w:r>
      <w:proofErr w:type="spellEnd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dekadni</w:t>
      </w:r>
      <w:proofErr w:type="spellEnd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prosjek</w:t>
      </w:r>
      <w:proofErr w:type="spellEnd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likvidnosti</w:t>
      </w:r>
      <w:proofErr w:type="spellEnd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)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onda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takav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minimum</w:t>
      </w:r>
      <w:r w:rsidRPr="00934AD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kao</w:t>
      </w:r>
      <w:proofErr w:type="spellEnd"/>
      <w:r w:rsidRP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donja</w:t>
      </w:r>
      <w:proofErr w:type="spellEnd"/>
      <w:r w:rsidRP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 w:rsid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 a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661E4" w:rsidRP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</w:t>
      </w:r>
      <w:r w:rsidRP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ornja</w:t>
      </w:r>
      <w:proofErr w:type="spellEnd"/>
      <w:r w:rsidRP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granica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određuje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kao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dvostruka</w:t>
      </w:r>
      <w:proofErr w:type="spellEnd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prosječna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individualnog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umanjena</w:t>
      </w:r>
      <w:proofErr w:type="spellEnd"/>
      <w:r w:rsidR="0056609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propisani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minimum.</w:t>
      </w:r>
      <w:r w:rsid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Primjer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izračunavanja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donje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gornje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granice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kada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je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regulativom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ustanovljena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donja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dat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je u </w:t>
      </w:r>
      <w:proofErr w:type="spellStart"/>
      <w:r w:rsidR="008661E4">
        <w:rPr>
          <w:rFonts w:ascii="Arial" w:eastAsiaTheme="minorEastAsia" w:hAnsi="Arial" w:cs="Arial"/>
          <w:sz w:val="24"/>
          <w:szCs w:val="24"/>
          <w:lang w:eastAsia="en-GB"/>
        </w:rPr>
        <w:t>P</w:t>
      </w:r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rilogu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2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ove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metodologije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čini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njen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sastavni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dio</w:t>
      </w:r>
      <w:proofErr w:type="spellEnd"/>
      <w:r w:rsidR="0056609F" w:rsidRPr="005B27EF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0175C29A" w14:textId="77777777" w:rsidR="008524DB" w:rsidRPr="005B7337" w:rsidRDefault="008524DB" w:rsidP="008524DB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Pregled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opisanog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modela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tbl>
      <w:tblPr>
        <w:tblStyle w:val="GridTable5Dark-Accent3"/>
        <w:tblW w:w="10196" w:type="dxa"/>
        <w:tblBorders>
          <w:insideH w:val="thickThinLargeGap" w:sz="2" w:space="0" w:color="FFFFFF" w:themeColor="background1"/>
          <w:insideV w:val="thickThinLargeGap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20"/>
        <w:gridCol w:w="1780"/>
        <w:gridCol w:w="1168"/>
        <w:gridCol w:w="2126"/>
        <w:gridCol w:w="1276"/>
        <w:gridCol w:w="2126"/>
      </w:tblGrid>
      <w:tr w:rsidR="008524DB" w:rsidRPr="00296F99" w14:paraId="65D50FBE" w14:textId="77777777" w:rsidTr="0085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F7CAAC" w:themeFill="accent2" w:themeFillTint="66"/>
            <w:noWrap/>
            <w:hideMark/>
          </w:tcPr>
          <w:p w14:paraId="1DB741CC" w14:textId="77777777" w:rsidR="008524DB" w:rsidRPr="00CF4A00" w:rsidRDefault="008524DB" w:rsidP="008524D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Pokazatelji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rizika</w:t>
            </w:r>
            <w:proofErr w:type="spellEnd"/>
          </w:p>
        </w:tc>
        <w:tc>
          <w:tcPr>
            <w:tcW w:w="1780" w:type="dxa"/>
            <w:shd w:val="clear" w:color="auto" w:fill="F7CAAC" w:themeFill="accent2" w:themeFillTint="66"/>
            <w:noWrap/>
            <w:hideMark/>
          </w:tcPr>
          <w:p w14:paraId="1A63FD43" w14:textId="77777777" w:rsidR="008524DB" w:rsidRPr="00CF4A00" w:rsidRDefault="008524DB" w:rsidP="008524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Koeficijent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rizika</w:t>
            </w:r>
            <w:proofErr w:type="spellEnd"/>
          </w:p>
        </w:tc>
        <w:tc>
          <w:tcPr>
            <w:tcW w:w="1168" w:type="dxa"/>
            <w:shd w:val="clear" w:color="auto" w:fill="F7CAAC" w:themeFill="accent2" w:themeFillTint="66"/>
            <w:noWrap/>
            <w:hideMark/>
          </w:tcPr>
          <w:p w14:paraId="08F7C3A1" w14:textId="77777777" w:rsidR="008524DB" w:rsidRPr="00CF4A00" w:rsidRDefault="008524DB" w:rsidP="008524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Donja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granica</w:t>
            </w:r>
            <w:proofErr w:type="spellEnd"/>
          </w:p>
        </w:tc>
        <w:tc>
          <w:tcPr>
            <w:tcW w:w="2126" w:type="dxa"/>
            <w:shd w:val="clear" w:color="auto" w:fill="F7CAAC" w:themeFill="accent2" w:themeFillTint="66"/>
            <w:noWrap/>
            <w:hideMark/>
          </w:tcPr>
          <w:p w14:paraId="2418AFE0" w14:textId="77777777" w:rsidR="008524DB" w:rsidRPr="00CF4A00" w:rsidRDefault="008524DB" w:rsidP="008524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Prosjek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na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nivou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bankarskog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sistema</w:t>
            </w:r>
            <w:proofErr w:type="spellEnd"/>
          </w:p>
        </w:tc>
        <w:tc>
          <w:tcPr>
            <w:tcW w:w="1276" w:type="dxa"/>
            <w:shd w:val="clear" w:color="auto" w:fill="F7CAAC" w:themeFill="accent2" w:themeFillTint="66"/>
            <w:noWrap/>
            <w:hideMark/>
          </w:tcPr>
          <w:p w14:paraId="621FDEEE" w14:textId="77777777" w:rsidR="008524DB" w:rsidRPr="00CF4A00" w:rsidRDefault="008524DB" w:rsidP="008524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Gornja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granica</w:t>
            </w:r>
            <w:proofErr w:type="spellEnd"/>
          </w:p>
        </w:tc>
        <w:tc>
          <w:tcPr>
            <w:tcW w:w="2126" w:type="dxa"/>
            <w:shd w:val="clear" w:color="auto" w:fill="F7CAAC" w:themeFill="accent2" w:themeFillTint="66"/>
            <w:hideMark/>
          </w:tcPr>
          <w:p w14:paraId="7BB83BA4" w14:textId="77777777" w:rsidR="008524DB" w:rsidRPr="00CF4A00" w:rsidRDefault="008524DB" w:rsidP="008524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Ocjena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pojedinačnog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rizika</w:t>
            </w:r>
            <w:proofErr w:type="spellEnd"/>
          </w:p>
        </w:tc>
      </w:tr>
      <w:tr w:rsidR="008524DB" w:rsidRPr="00296F99" w14:paraId="15DFDB62" w14:textId="77777777" w:rsidTr="00A4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left w:val="none" w:sz="0" w:space="0" w:color="auto"/>
            </w:tcBorders>
            <w:shd w:val="clear" w:color="auto" w:fill="F7CAAC" w:themeFill="accent2" w:themeFillTint="66"/>
            <w:noWrap/>
            <w:hideMark/>
          </w:tcPr>
          <w:p w14:paraId="39C9CDF5" w14:textId="77777777" w:rsidR="008524DB" w:rsidRPr="00CF4A00" w:rsidRDefault="008524DB" w:rsidP="00A416C2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Pokazatelj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780" w:type="dxa"/>
            <w:shd w:val="clear" w:color="auto" w:fill="FDF0DB"/>
            <w:noWrap/>
            <w:hideMark/>
          </w:tcPr>
          <w:p w14:paraId="0DEEF2FE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KR1</w:t>
            </w:r>
          </w:p>
        </w:tc>
        <w:tc>
          <w:tcPr>
            <w:tcW w:w="1168" w:type="dxa"/>
            <w:shd w:val="clear" w:color="auto" w:fill="FDF0DB"/>
            <w:noWrap/>
            <w:hideMark/>
          </w:tcPr>
          <w:p w14:paraId="22ECBC96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2126" w:type="dxa"/>
            <w:shd w:val="clear" w:color="auto" w:fill="FDF0DB"/>
            <w:noWrap/>
            <w:hideMark/>
          </w:tcPr>
          <w:p w14:paraId="6F0B96D0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276" w:type="dxa"/>
            <w:shd w:val="clear" w:color="auto" w:fill="FDF0DB"/>
            <w:noWrap/>
            <w:hideMark/>
          </w:tcPr>
          <w:p w14:paraId="2AA59EFA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2126" w:type="dxa"/>
            <w:shd w:val="clear" w:color="auto" w:fill="FDF0DB"/>
            <w:noWrap/>
            <w:hideMark/>
          </w:tcPr>
          <w:p w14:paraId="2ED0A893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OPR1</w:t>
            </w:r>
          </w:p>
        </w:tc>
      </w:tr>
      <w:tr w:rsidR="008524DB" w:rsidRPr="00296F99" w14:paraId="69814E7F" w14:textId="77777777" w:rsidTr="00CF4A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14:paraId="47EFF91F" w14:textId="77777777" w:rsidR="008524DB" w:rsidRPr="00CF4A00" w:rsidRDefault="008524DB" w:rsidP="00A416C2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Pokazatelj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780" w:type="dxa"/>
            <w:shd w:val="clear" w:color="auto" w:fill="E7E6E6" w:themeFill="background2"/>
            <w:noWrap/>
            <w:hideMark/>
          </w:tcPr>
          <w:p w14:paraId="5C34EEC8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KR2</w:t>
            </w:r>
          </w:p>
        </w:tc>
        <w:tc>
          <w:tcPr>
            <w:tcW w:w="1168" w:type="dxa"/>
            <w:shd w:val="clear" w:color="auto" w:fill="E7E6E6" w:themeFill="background2"/>
            <w:noWrap/>
            <w:hideMark/>
          </w:tcPr>
          <w:p w14:paraId="75B9444C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14:paraId="5F7E090D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012E11DE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14:paraId="5F701277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OPR2</w:t>
            </w:r>
          </w:p>
        </w:tc>
      </w:tr>
      <w:tr w:rsidR="008524DB" w:rsidRPr="00296F99" w14:paraId="38135165" w14:textId="77777777" w:rsidTr="0085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left w:val="none" w:sz="0" w:space="0" w:color="auto"/>
            </w:tcBorders>
            <w:shd w:val="clear" w:color="auto" w:fill="F7CAAC" w:themeFill="accent2" w:themeFillTint="66"/>
            <w:noWrap/>
            <w:hideMark/>
          </w:tcPr>
          <w:p w14:paraId="20AD5FB1" w14:textId="77777777" w:rsidR="008524DB" w:rsidRPr="00CF4A00" w:rsidRDefault="008524DB" w:rsidP="00A416C2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.........</w:t>
            </w:r>
          </w:p>
        </w:tc>
        <w:tc>
          <w:tcPr>
            <w:tcW w:w="1780" w:type="dxa"/>
            <w:shd w:val="clear" w:color="auto" w:fill="FDF0DB"/>
            <w:noWrap/>
            <w:hideMark/>
          </w:tcPr>
          <w:p w14:paraId="363CBEF3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.........</w:t>
            </w:r>
          </w:p>
        </w:tc>
        <w:tc>
          <w:tcPr>
            <w:tcW w:w="1168" w:type="dxa"/>
            <w:shd w:val="clear" w:color="auto" w:fill="FDF0DB"/>
            <w:noWrap/>
            <w:hideMark/>
          </w:tcPr>
          <w:p w14:paraId="53764C37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.........</w:t>
            </w:r>
          </w:p>
        </w:tc>
        <w:tc>
          <w:tcPr>
            <w:tcW w:w="2126" w:type="dxa"/>
            <w:shd w:val="clear" w:color="auto" w:fill="FDF0DB"/>
            <w:noWrap/>
            <w:hideMark/>
          </w:tcPr>
          <w:p w14:paraId="7C56AEF2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.........</w:t>
            </w:r>
          </w:p>
        </w:tc>
        <w:tc>
          <w:tcPr>
            <w:tcW w:w="1276" w:type="dxa"/>
            <w:shd w:val="clear" w:color="auto" w:fill="FDF0DB"/>
            <w:noWrap/>
            <w:hideMark/>
          </w:tcPr>
          <w:p w14:paraId="2482795E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.........</w:t>
            </w:r>
          </w:p>
        </w:tc>
        <w:tc>
          <w:tcPr>
            <w:tcW w:w="2126" w:type="dxa"/>
            <w:shd w:val="clear" w:color="auto" w:fill="FDF0DB"/>
            <w:noWrap/>
            <w:hideMark/>
          </w:tcPr>
          <w:p w14:paraId="3C76E3F0" w14:textId="77777777" w:rsidR="008524DB" w:rsidRPr="00CF4A00" w:rsidRDefault="008524DB" w:rsidP="00A416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.........</w:t>
            </w:r>
          </w:p>
        </w:tc>
      </w:tr>
      <w:tr w:rsidR="008524DB" w:rsidRPr="00296F99" w14:paraId="2FE6AE5F" w14:textId="77777777" w:rsidTr="00CF4A0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noWrap/>
            <w:hideMark/>
          </w:tcPr>
          <w:p w14:paraId="5826560C" w14:textId="77777777" w:rsidR="008524DB" w:rsidRPr="00CF4A00" w:rsidRDefault="008524DB" w:rsidP="00A416C2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>Pokazatelj</w:t>
            </w:r>
            <w:proofErr w:type="spellEnd"/>
            <w:r w:rsidRPr="00CF4A00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n</w:t>
            </w:r>
          </w:p>
        </w:tc>
        <w:tc>
          <w:tcPr>
            <w:tcW w:w="1780" w:type="dxa"/>
            <w:shd w:val="clear" w:color="auto" w:fill="E7E6E6" w:themeFill="background2"/>
            <w:noWrap/>
            <w:hideMark/>
          </w:tcPr>
          <w:p w14:paraId="51BFF9B4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KRN</w:t>
            </w:r>
          </w:p>
        </w:tc>
        <w:tc>
          <w:tcPr>
            <w:tcW w:w="1168" w:type="dxa"/>
            <w:shd w:val="clear" w:color="auto" w:fill="E7E6E6" w:themeFill="background2"/>
            <w:noWrap/>
            <w:hideMark/>
          </w:tcPr>
          <w:p w14:paraId="4CDB4515" w14:textId="1BC1575F" w:rsidR="008524DB" w:rsidRPr="00CF4A00" w:rsidRDefault="00C031D4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8524DB"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14:paraId="12F6168A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05CB72CB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cn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  <w:noWrap/>
            <w:hideMark/>
          </w:tcPr>
          <w:p w14:paraId="68FF943C" w14:textId="77777777" w:rsidR="008524DB" w:rsidRPr="00CF4A00" w:rsidRDefault="008524DB" w:rsidP="00A416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F4A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OPRn</w:t>
            </w:r>
            <w:proofErr w:type="spellEnd"/>
          </w:p>
        </w:tc>
      </w:tr>
    </w:tbl>
    <w:p w14:paraId="75DA58F8" w14:textId="79EF3CE0" w:rsidR="0056609F" w:rsidRDefault="0056609F" w:rsidP="00CB2197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i/>
          <w:iCs/>
          <w:color w:val="FF0000"/>
          <w:sz w:val="24"/>
          <w:szCs w:val="24"/>
          <w:lang w:eastAsia="en-GB"/>
        </w:rPr>
      </w:pPr>
    </w:p>
    <w:p w14:paraId="4F070949" w14:textId="14E85CB6" w:rsidR="0067787E" w:rsidRDefault="0067787E" w:rsidP="0067787E">
      <w:pPr>
        <w:shd w:val="clear" w:color="auto" w:fill="FFFFFF"/>
        <w:spacing w:after="200" w:line="360" w:lineRule="atLeast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n-US"/>
        </w:rPr>
        <w:t>Zbirna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n-US"/>
        </w:rPr>
        <w:t>ocjena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</w:t>
      </w:r>
      <w:proofErr w:type="spellStart"/>
      <w:r w:rsidRPr="00736DDC">
        <w:rPr>
          <w:rFonts w:ascii="Arial" w:eastAsia="Calibri" w:hAnsi="Arial" w:cs="Arial"/>
          <w:b/>
          <w:bCs/>
          <w:sz w:val="24"/>
          <w:szCs w:val="24"/>
          <w:lang w:val="en-US"/>
        </w:rPr>
        <w:t>rizika</w:t>
      </w:r>
      <w:proofErr w:type="spellEnd"/>
      <w:r w:rsidRPr="00736DD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</w:t>
      </w:r>
      <w:proofErr w:type="spellStart"/>
      <w:r w:rsidRPr="00736DDC">
        <w:rPr>
          <w:rFonts w:ascii="Arial" w:eastAsia="Calibri" w:hAnsi="Arial" w:cs="Arial"/>
          <w:b/>
          <w:bCs/>
          <w:sz w:val="24"/>
          <w:szCs w:val="24"/>
          <w:lang w:val="en-US"/>
        </w:rPr>
        <w:t>pojedine</w:t>
      </w:r>
      <w:proofErr w:type="spellEnd"/>
      <w:r w:rsidRPr="00736DD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36DDC">
        <w:rPr>
          <w:rFonts w:ascii="Arial" w:eastAsia="Calibri" w:hAnsi="Arial" w:cs="Arial"/>
          <w:b/>
          <w:bCs/>
          <w:sz w:val="24"/>
          <w:szCs w:val="24"/>
          <w:lang w:val="en-US"/>
        </w:rPr>
        <w:t>kreditne</w:t>
      </w:r>
      <w:proofErr w:type="spellEnd"/>
      <w:r w:rsidRPr="00736DD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36DDC">
        <w:rPr>
          <w:rFonts w:ascii="Arial" w:eastAsia="Calibri" w:hAnsi="Arial" w:cs="Arial"/>
          <w:b/>
          <w:bCs/>
          <w:sz w:val="24"/>
          <w:szCs w:val="24"/>
          <w:lang w:val="en-US"/>
        </w:rPr>
        <w:t>institucije</w:t>
      </w:r>
      <w:proofErr w:type="spellEnd"/>
    </w:p>
    <w:p w14:paraId="6959FFEE" w14:textId="77777777" w:rsidR="0067787E" w:rsidRDefault="000A7934" w:rsidP="00BD7AA0">
      <w:pPr>
        <w:shd w:val="clear" w:color="auto" w:fill="FFFFFF"/>
        <w:spacing w:after="0" w:line="360" w:lineRule="atLeast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5B7337">
        <w:rPr>
          <w:rFonts w:ascii="Arial" w:eastAsia="Calibri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B733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8</w:t>
      </w:r>
    </w:p>
    <w:p w14:paraId="3B96BB44" w14:textId="34A5FF1B" w:rsidR="00C63850" w:rsidRPr="00C031D4" w:rsidRDefault="00C32184" w:rsidP="0067787E">
      <w:pPr>
        <w:shd w:val="clear" w:color="auto" w:fill="FFFFFF"/>
        <w:spacing w:after="200" w:line="360" w:lineRule="atLeast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Nakon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5D2B" w:rsidRPr="00C031D4">
        <w:rPr>
          <w:rFonts w:ascii="Arial" w:eastAsiaTheme="minorEastAsia" w:hAnsi="Arial" w:cs="Arial"/>
          <w:sz w:val="24"/>
          <w:szCs w:val="24"/>
          <w:lang w:eastAsia="en-GB"/>
        </w:rPr>
        <w:t>iz</w:t>
      </w:r>
      <w:r w:rsidRPr="00C031D4">
        <w:rPr>
          <w:rFonts w:ascii="Arial" w:eastAsiaTheme="minorEastAsia" w:hAnsi="Arial" w:cs="Arial"/>
          <w:sz w:val="24"/>
          <w:szCs w:val="24"/>
          <w:lang w:eastAsia="en-GB"/>
        </w:rPr>
        <w:t>računa</w:t>
      </w:r>
      <w:r w:rsidR="00675D2B" w:rsidRPr="00C031D4">
        <w:rPr>
          <w:rFonts w:ascii="Arial" w:eastAsiaTheme="minorEastAsia" w:hAnsi="Arial" w:cs="Arial"/>
          <w:sz w:val="24"/>
          <w:szCs w:val="24"/>
          <w:lang w:eastAsia="en-GB"/>
        </w:rPr>
        <w:t>vanja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svih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pojedinačnih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za </w:t>
      </w:r>
      <w:proofErr w:type="spellStart"/>
      <w:r w:rsidR="00675D2B" w:rsidRPr="00C031D4">
        <w:rPr>
          <w:rFonts w:ascii="Arial" w:eastAsiaTheme="minorEastAsia" w:hAnsi="Arial" w:cs="Arial"/>
          <w:sz w:val="24"/>
          <w:szCs w:val="24"/>
          <w:lang w:eastAsia="en-GB"/>
        </w:rPr>
        <w:t>pojedinu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kreditnu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instituciju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izračunava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se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zbirna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Start w:id="8" w:name="_Hlk59539962"/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373B4" w:rsidRPr="00C031D4">
        <w:rPr>
          <w:rFonts w:ascii="Arial" w:eastAsiaTheme="minorEastAsia" w:hAnsi="Arial" w:cs="Arial"/>
          <w:sz w:val="24"/>
          <w:szCs w:val="24"/>
          <w:lang w:eastAsia="en-GB"/>
        </w:rPr>
        <w:t>pojedine</w:t>
      </w:r>
      <w:proofErr w:type="spellEnd"/>
      <w:r w:rsidR="00A373B4"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373B4" w:rsidRPr="00C031D4">
        <w:rPr>
          <w:rFonts w:ascii="Arial" w:eastAsiaTheme="minorEastAsia" w:hAnsi="Arial" w:cs="Arial"/>
          <w:sz w:val="24"/>
          <w:szCs w:val="24"/>
          <w:lang w:eastAsia="en-GB"/>
        </w:rPr>
        <w:t>kreditne</w:t>
      </w:r>
      <w:proofErr w:type="spellEnd"/>
      <w:r w:rsidR="00A373B4"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End w:id="8"/>
      <w:proofErr w:type="spellStart"/>
      <w:r w:rsidR="00A373B4" w:rsidRPr="00C031D4">
        <w:rPr>
          <w:rFonts w:ascii="Arial" w:eastAsiaTheme="minorEastAsia" w:hAnsi="Arial" w:cs="Arial"/>
          <w:sz w:val="24"/>
          <w:szCs w:val="24"/>
          <w:lang w:eastAsia="en-GB"/>
        </w:rPr>
        <w:t>institucije</w:t>
      </w:r>
      <w:proofErr w:type="spellEnd"/>
      <w:r w:rsidR="00675D2B" w:rsidRPr="00C031D4">
        <w:rPr>
          <w:rFonts w:ascii="Arial" w:eastAsiaTheme="minorEastAsia" w:hAnsi="Arial" w:cs="Arial"/>
          <w:sz w:val="24"/>
          <w:szCs w:val="24"/>
          <w:lang w:eastAsia="en-GB"/>
        </w:rPr>
        <w:t>.</w:t>
      </w:r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31B6FB26" w14:textId="0E51B06F" w:rsidR="00C32184" w:rsidRPr="00C031D4" w:rsidRDefault="00C32184" w:rsidP="00C32184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Zbirna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pojedine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kreditne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institucije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se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izračunava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sabiranjem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svih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pojedinačnih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prilagođenih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za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odgovarajuće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koeficijente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="002B1603" w:rsidRPr="00C031D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B1603" w:rsidRPr="00C031D4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C031D4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1B8F36E3" w14:textId="2BB6A60B" w:rsidR="00396972" w:rsidRPr="00C031D4" w:rsidRDefault="00675D2B" w:rsidP="00C32184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Primjer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ocjene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dat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u </w:t>
      </w:r>
      <w:proofErr w:type="spellStart"/>
      <w:r w:rsidR="008661E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</w:t>
      </w:r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rilogu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3</w:t>
      </w:r>
      <w:r w:rsidR="00A373B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373B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ove</w:t>
      </w:r>
      <w:proofErr w:type="spellEnd"/>
      <w:r w:rsidR="00A373B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373B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metodologije</w:t>
      </w:r>
      <w:proofErr w:type="spellEnd"/>
      <w:r w:rsidR="00A373B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661E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A373B4"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čini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njen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sastavni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dio</w:t>
      </w:r>
      <w:proofErr w:type="spellEnd"/>
      <w:r w:rsidRPr="00C031D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0F8A42E8" w14:textId="2C880F94" w:rsidR="00B137B9" w:rsidRPr="005B7337" w:rsidRDefault="00B137B9" w:rsidP="00B137B9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bookmarkStart w:id="9" w:name="_Hlk58582314"/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Pragovi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5E226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dodjelu</w:t>
      </w:r>
      <w:proofErr w:type="spellEnd"/>
      <w:r w:rsidR="005E226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6DDC" w:rsidRPr="006555B8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koeficijent</w:t>
      </w:r>
      <w:r w:rsidR="005E2266" w:rsidRPr="006555B8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proofErr w:type="spellEnd"/>
      <w:r w:rsidR="005E2266">
        <w:rPr>
          <w:rFonts w:ascii="Arial" w:eastAsiaTheme="minorEastAsia" w:hAnsi="Arial" w:cs="Arial"/>
          <w:b/>
          <w:bCs/>
          <w:color w:val="00B0F0"/>
          <w:sz w:val="24"/>
          <w:szCs w:val="24"/>
          <w:lang w:eastAsia="en-GB"/>
        </w:rPr>
        <w:t xml:space="preserve"> </w:t>
      </w:r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zbirnog</w:t>
      </w:r>
      <w:proofErr w:type="spellEnd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– </w:t>
      </w:r>
      <w:proofErr w:type="spellStart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stepen</w:t>
      </w:r>
      <w:proofErr w:type="spellEnd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rizičnosti</w:t>
      </w:r>
      <w:proofErr w:type="spellEnd"/>
      <w:r w:rsidR="000457BC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6677A95E" w14:textId="5EF13A75" w:rsidR="000457BC" w:rsidRDefault="000457BC" w:rsidP="0067787E">
      <w:pPr>
        <w:widowControl w:val="0"/>
        <w:tabs>
          <w:tab w:val="left" w:pos="418"/>
        </w:tabs>
        <w:spacing w:line="240" w:lineRule="auto"/>
        <w:ind w:right="118"/>
        <w:jc w:val="center"/>
        <w:rPr>
          <w:rFonts w:ascii="Arial" w:eastAsiaTheme="minorEastAsia" w:hAnsi="Arial" w:cs="Arial"/>
          <w:b/>
          <w:iCs/>
          <w:color w:val="000000"/>
          <w:sz w:val="24"/>
          <w:szCs w:val="24"/>
          <w:lang w:val="en-US" w:eastAsia="en-GB"/>
        </w:rPr>
      </w:pPr>
      <w:proofErr w:type="spellStart"/>
      <w:r w:rsidRPr="005B7337">
        <w:rPr>
          <w:rFonts w:ascii="Arial" w:eastAsiaTheme="minorEastAsia" w:hAnsi="Arial" w:cs="Arial"/>
          <w:b/>
          <w:iCs/>
          <w:color w:val="000000"/>
          <w:sz w:val="24"/>
          <w:szCs w:val="24"/>
          <w:lang w:val="en-US"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iCs/>
          <w:color w:val="000000"/>
          <w:sz w:val="24"/>
          <w:szCs w:val="24"/>
          <w:lang w:val="en-US" w:eastAsia="en-GB"/>
        </w:rPr>
        <w:t xml:space="preserve"> </w:t>
      </w:r>
      <w:r w:rsidR="005C367E" w:rsidRPr="005B7337">
        <w:rPr>
          <w:rFonts w:ascii="Arial" w:eastAsiaTheme="minorEastAsia" w:hAnsi="Arial" w:cs="Arial"/>
          <w:b/>
          <w:iCs/>
          <w:color w:val="000000"/>
          <w:sz w:val="24"/>
          <w:szCs w:val="24"/>
          <w:lang w:val="en-US" w:eastAsia="en-GB"/>
        </w:rPr>
        <w:t>9</w:t>
      </w:r>
    </w:p>
    <w:p w14:paraId="18C2D9DE" w14:textId="1C8894ED" w:rsidR="005D6BF9" w:rsidRDefault="005E2266" w:rsidP="005E2266">
      <w:pPr>
        <w:widowControl w:val="0"/>
        <w:tabs>
          <w:tab w:val="left" w:pos="418"/>
        </w:tabs>
        <w:spacing w:after="0" w:line="240" w:lineRule="auto"/>
        <w:ind w:right="118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 w:rsid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prikazuj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razlike</w:t>
      </w:r>
      <w:proofErr w:type="spellEnd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rizicima</w:t>
      </w:r>
      <w:proofErr w:type="spellEnd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koje</w:t>
      </w:r>
      <w:proofErr w:type="spellEnd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2B16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nose</w:t>
      </w:r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različite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članice</w:t>
      </w:r>
      <w:proofErr w:type="spellEnd"/>
      <w:r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229D1777" w14:textId="77777777" w:rsidR="00F52BD9" w:rsidRDefault="00F52BD9" w:rsidP="005E2266">
      <w:pPr>
        <w:widowControl w:val="0"/>
        <w:tabs>
          <w:tab w:val="left" w:pos="418"/>
        </w:tabs>
        <w:spacing w:after="0" w:line="240" w:lineRule="auto"/>
        <w:ind w:right="118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73BD0E30" w14:textId="5F387491" w:rsidR="005E2266" w:rsidRPr="005E2266" w:rsidRDefault="005D6BF9" w:rsidP="005E2266">
      <w:pPr>
        <w:widowControl w:val="0"/>
        <w:tabs>
          <w:tab w:val="left" w:pos="418"/>
        </w:tabs>
        <w:spacing w:after="0" w:line="240" w:lineRule="auto"/>
        <w:ind w:right="118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5E2266" w:rsidRP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uspostavlja</w:t>
      </w:r>
      <w:proofErr w:type="spellEnd"/>
      <w:r w:rsidRPr="005D6BF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</w:t>
      </w:r>
      <w:r w:rsidR="005E2266"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ajniži</w:t>
      </w:r>
      <w:proofErr w:type="spellEnd"/>
      <w:r w:rsidR="005E2266"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</w:t>
      </w:r>
      <w:proofErr w:type="spellEnd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5E2266"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75 %, </w:t>
      </w:r>
      <w:proofErr w:type="spellStart"/>
      <w:r w:rsidR="005E2266"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najviši</w:t>
      </w:r>
      <w:proofErr w:type="spellEnd"/>
      <w:r w:rsidR="005E2266"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</w:t>
      </w:r>
      <w:proofErr w:type="spellEnd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5E2266"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150 %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24E3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pragove</w:t>
      </w:r>
      <w:proofErr w:type="spellEnd"/>
      <w:r w:rsidR="002B16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B16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 w:rsidR="002B16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B16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5E2266" w:rsidRPr="005E226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4F0BF98D" w14:textId="77777777" w:rsidR="00F52BD9" w:rsidRDefault="00F52BD9" w:rsidP="005E2266">
      <w:pPr>
        <w:widowControl w:val="0"/>
        <w:tabs>
          <w:tab w:val="left" w:pos="418"/>
        </w:tabs>
        <w:spacing w:after="0" w:line="240" w:lineRule="auto"/>
        <w:ind w:right="118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54ABBD54" w14:textId="6A452FA6" w:rsidR="00F52BD9" w:rsidRDefault="001E23DC" w:rsidP="001E23DC">
      <w:pPr>
        <w:widowControl w:val="0"/>
        <w:tabs>
          <w:tab w:val="left" w:pos="418"/>
        </w:tabs>
        <w:spacing w:after="0" w:line="240" w:lineRule="auto"/>
        <w:ind w:right="118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lastRenderedPageBreak/>
        <w:t>K</w:t>
      </w:r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oeficijent</w:t>
      </w:r>
      <w:proofErr w:type="spellEnd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dodijeljuje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</w:t>
      </w:r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kreditnim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institucijama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članicama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osnovu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</w:t>
      </w:r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ocjene</w:t>
      </w:r>
      <w:proofErr w:type="spellEnd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A373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r w:rsidR="00A373B4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sedam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rizičnih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kategorija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koeficijentima</w:t>
      </w:r>
      <w:proofErr w:type="spellEnd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(75 %, 90%, 100 %, 110 %, 130%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150 %) koji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su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dodijeljeni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svakoj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klasi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sljedeći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</w:t>
      </w:r>
      <w:proofErr w:type="spellEnd"/>
      <w:r w:rsidR="00F52BD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tbl>
      <w:tblPr>
        <w:tblW w:w="10057" w:type="dxa"/>
        <w:tblLook w:val="04A0" w:firstRow="1" w:lastRow="0" w:firstColumn="1" w:lastColumn="0" w:noHBand="0" w:noVBand="1"/>
      </w:tblPr>
      <w:tblGrid>
        <w:gridCol w:w="1957"/>
        <w:gridCol w:w="3780"/>
        <w:gridCol w:w="4320"/>
      </w:tblGrid>
      <w:tr w:rsidR="00927EAE" w:rsidRPr="00296F99" w14:paraId="54523C76" w14:textId="77777777" w:rsidTr="0006311D">
        <w:trPr>
          <w:trHeight w:val="585"/>
        </w:trPr>
        <w:tc>
          <w:tcPr>
            <w:tcW w:w="1957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7CAAC"/>
            <w:vAlign w:val="center"/>
            <w:hideMark/>
          </w:tcPr>
          <w:p w14:paraId="5EC9424D" w14:textId="77777777" w:rsidR="00927EAE" w:rsidRPr="00CF4A00" w:rsidRDefault="00927EAE" w:rsidP="00CF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A0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Klasa</w:t>
            </w:r>
            <w:proofErr w:type="spellEnd"/>
            <w:r w:rsidRPr="00CF4A0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A0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rizika</w:t>
            </w:r>
            <w:proofErr w:type="spellEnd"/>
          </w:p>
        </w:tc>
        <w:tc>
          <w:tcPr>
            <w:tcW w:w="378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7CAAC"/>
            <w:vAlign w:val="center"/>
            <w:hideMark/>
          </w:tcPr>
          <w:p w14:paraId="6A016DFE" w14:textId="22BD8A30" w:rsidR="00927EAE" w:rsidRPr="00CF4A00" w:rsidRDefault="00927EAE" w:rsidP="00CF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Granice</w:t>
            </w:r>
            <w:proofErr w:type="spellEnd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zbirne</w:t>
            </w:r>
            <w:proofErr w:type="spellEnd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ocjene</w:t>
            </w:r>
            <w:proofErr w:type="spellEnd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rizika</w:t>
            </w:r>
            <w:proofErr w:type="spellEnd"/>
          </w:p>
        </w:tc>
        <w:tc>
          <w:tcPr>
            <w:tcW w:w="432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7CAAC"/>
            <w:vAlign w:val="center"/>
            <w:hideMark/>
          </w:tcPr>
          <w:p w14:paraId="2CC31D92" w14:textId="77777777" w:rsidR="00927EAE" w:rsidRPr="00CF4A00" w:rsidRDefault="00927EAE" w:rsidP="00CF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Koeficijent</w:t>
            </w:r>
            <w:proofErr w:type="spellEnd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zbirnog</w:t>
            </w:r>
            <w:proofErr w:type="spellEnd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rizika</w:t>
            </w:r>
            <w:proofErr w:type="spellEnd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stepen</w:t>
            </w:r>
            <w:proofErr w:type="spellEnd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rizika</w:t>
            </w:r>
            <w:proofErr w:type="spellEnd"/>
          </w:p>
        </w:tc>
      </w:tr>
      <w:tr w:rsidR="00927EAE" w:rsidRPr="005323F0" w14:paraId="053FB69B" w14:textId="77777777" w:rsidTr="00A416C2">
        <w:trPr>
          <w:trHeight w:val="127"/>
        </w:trPr>
        <w:tc>
          <w:tcPr>
            <w:tcW w:w="1957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7CAAC"/>
            <w:vAlign w:val="center"/>
            <w:hideMark/>
          </w:tcPr>
          <w:p w14:paraId="71E64D36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2B2D025C" w14:textId="62CC2CE3" w:rsidR="00927EAE" w:rsidRPr="00CF4A00" w:rsidRDefault="00AC4B62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n-GB"/>
              </w:rPr>
              <w:t>≤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78C05311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</w:rPr>
              <w:t>75%</w:t>
            </w:r>
          </w:p>
        </w:tc>
      </w:tr>
      <w:tr w:rsidR="00927EAE" w:rsidRPr="005323F0" w14:paraId="62C454E7" w14:textId="77777777" w:rsidTr="00A416C2">
        <w:trPr>
          <w:trHeight w:val="131"/>
        </w:trPr>
        <w:tc>
          <w:tcPr>
            <w:tcW w:w="1957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784CFC7F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3C7F8A13" w14:textId="7E8DD89A" w:rsidR="00927EAE" w:rsidRPr="00CF4A00" w:rsidRDefault="00AC4B62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r w:rsidR="00A179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797A" w:rsidRPr="00A1797A">
              <w:rPr>
                <w:rFonts w:ascii="Arial" w:eastAsia="Times New Roman" w:hAnsi="Arial" w:cs="Arial"/>
                <w:sz w:val="20"/>
                <w:szCs w:val="20"/>
              </w:rPr>
              <w:t>≤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03E0D126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</w:rPr>
              <w:t>90%</w:t>
            </w:r>
          </w:p>
        </w:tc>
      </w:tr>
      <w:tr w:rsidR="00927EAE" w:rsidRPr="005323F0" w14:paraId="54B3E565" w14:textId="77777777" w:rsidTr="00A416C2">
        <w:trPr>
          <w:trHeight w:val="21"/>
        </w:trPr>
        <w:tc>
          <w:tcPr>
            <w:tcW w:w="1957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7CAAC"/>
            <w:vAlign w:val="center"/>
            <w:hideMark/>
          </w:tcPr>
          <w:p w14:paraId="20FA014E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3210C994" w14:textId="47C6681E" w:rsidR="00927EAE" w:rsidRPr="00CF4A00" w:rsidRDefault="00AC4B62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 xml:space="preserve">40 </w:t>
            </w:r>
            <w:r w:rsidR="00A179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797A" w:rsidRPr="00A1797A">
              <w:rPr>
                <w:rFonts w:ascii="Arial" w:eastAsia="Times New Roman" w:hAnsi="Arial" w:cs="Arial"/>
                <w:sz w:val="20"/>
                <w:szCs w:val="20"/>
              </w:rPr>
              <w:t>≤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49120E1A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927EAE" w:rsidRPr="005323F0" w14:paraId="58AAAEA1" w14:textId="77777777" w:rsidTr="00A416C2">
        <w:trPr>
          <w:trHeight w:val="21"/>
        </w:trPr>
        <w:tc>
          <w:tcPr>
            <w:tcW w:w="1957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14742764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4717D6AF" w14:textId="33F089B0" w:rsidR="00927EAE" w:rsidRPr="00CF4A00" w:rsidRDefault="00AC4B62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A1797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1797A" w:rsidRPr="00A1797A">
              <w:rPr>
                <w:rFonts w:ascii="Arial" w:eastAsia="Times New Roman" w:hAnsi="Arial" w:cs="Arial"/>
                <w:sz w:val="20"/>
                <w:szCs w:val="20"/>
              </w:rPr>
              <w:t>≤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7893C99E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</w:rPr>
              <w:t>110%</w:t>
            </w:r>
          </w:p>
        </w:tc>
      </w:tr>
      <w:tr w:rsidR="00927EAE" w:rsidRPr="005323F0" w14:paraId="69181E45" w14:textId="77777777" w:rsidTr="00A416C2">
        <w:trPr>
          <w:trHeight w:val="21"/>
        </w:trPr>
        <w:tc>
          <w:tcPr>
            <w:tcW w:w="1957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7CAAC"/>
            <w:vAlign w:val="center"/>
            <w:hideMark/>
          </w:tcPr>
          <w:p w14:paraId="26FA36A0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680E4D52" w14:textId="188EA876" w:rsidR="00927EAE" w:rsidRPr="00CF4A00" w:rsidRDefault="00AC4B62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  <w:r w:rsidR="00A179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797A" w:rsidRPr="00A1797A">
              <w:rPr>
                <w:rFonts w:ascii="Arial" w:eastAsia="Times New Roman" w:hAnsi="Arial" w:cs="Arial"/>
                <w:sz w:val="20"/>
                <w:szCs w:val="20"/>
              </w:rPr>
              <w:t>≤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07B941A5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</w:rPr>
              <w:t>120%</w:t>
            </w:r>
          </w:p>
        </w:tc>
      </w:tr>
      <w:tr w:rsidR="00927EAE" w:rsidRPr="005323F0" w14:paraId="0084CDD7" w14:textId="77777777" w:rsidTr="00A416C2">
        <w:trPr>
          <w:trHeight w:val="21"/>
        </w:trPr>
        <w:tc>
          <w:tcPr>
            <w:tcW w:w="1957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5D4E3A45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1D1E56EA" w14:textId="0F5A5387" w:rsidR="00927EAE" w:rsidRPr="00CF4A00" w:rsidRDefault="00AC4B62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 xml:space="preserve">70 </w:t>
            </w:r>
            <w:r w:rsidR="00A179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797A" w:rsidRPr="00A1797A">
              <w:rPr>
                <w:rFonts w:ascii="Arial" w:eastAsia="Times New Roman" w:hAnsi="Arial" w:cs="Arial"/>
                <w:sz w:val="20"/>
                <w:szCs w:val="20"/>
              </w:rPr>
              <w:t>≤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E7E6E6" w:themeFill="background2"/>
            <w:vAlign w:val="center"/>
            <w:hideMark/>
          </w:tcPr>
          <w:p w14:paraId="2FF90D6D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</w:tr>
      <w:tr w:rsidR="00927EAE" w:rsidRPr="005323F0" w14:paraId="1D099F4A" w14:textId="77777777" w:rsidTr="00A416C2">
        <w:trPr>
          <w:trHeight w:val="21"/>
        </w:trPr>
        <w:tc>
          <w:tcPr>
            <w:tcW w:w="1957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F7CAAC"/>
            <w:vAlign w:val="center"/>
            <w:hideMark/>
          </w:tcPr>
          <w:p w14:paraId="01D97046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0DB4E5A1" w14:textId="7A72DC27" w:rsidR="00927EAE" w:rsidRPr="00CF4A00" w:rsidRDefault="00AC4B62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 xml:space="preserve">80 </w:t>
            </w:r>
            <w:r w:rsidR="00A179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797A" w:rsidRPr="00A1797A">
              <w:rPr>
                <w:rFonts w:ascii="Arial" w:eastAsia="Times New Roman" w:hAnsi="Arial" w:cs="Arial"/>
                <w:sz w:val="20"/>
                <w:szCs w:val="20"/>
              </w:rPr>
              <w:t>≤</w:t>
            </w:r>
            <w:r w:rsidR="00927EAE" w:rsidRPr="00CF4A0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DF0DB"/>
            <w:vAlign w:val="center"/>
            <w:hideMark/>
          </w:tcPr>
          <w:p w14:paraId="6FDA194D" w14:textId="77777777" w:rsidR="00927EAE" w:rsidRPr="00CF4A00" w:rsidRDefault="00927EAE" w:rsidP="0029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4A00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</w:tr>
    </w:tbl>
    <w:p w14:paraId="3B886E3C" w14:textId="1A4AD0F7" w:rsidR="006D0974" w:rsidRDefault="006D0974" w:rsidP="005E2266">
      <w:pPr>
        <w:widowControl w:val="0"/>
        <w:tabs>
          <w:tab w:val="left" w:pos="418"/>
        </w:tabs>
        <w:spacing w:after="0" w:line="240" w:lineRule="auto"/>
        <w:ind w:right="118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433F5E95" w14:textId="77777777" w:rsidR="003001A8" w:rsidRPr="005E2266" w:rsidRDefault="003001A8" w:rsidP="005E2266">
      <w:pPr>
        <w:widowControl w:val="0"/>
        <w:tabs>
          <w:tab w:val="left" w:pos="418"/>
        </w:tabs>
        <w:spacing w:after="0" w:line="240" w:lineRule="auto"/>
        <w:ind w:right="118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bookmarkEnd w:id="9"/>
    <w:p w14:paraId="59A3BB55" w14:textId="50A1ADE8" w:rsidR="009624B1" w:rsidRPr="005B7337" w:rsidRDefault="00280DDB" w:rsidP="0067787E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Podaci</w:t>
      </w:r>
      <w:proofErr w:type="spellEnd"/>
      <w:r w:rsidR="006D368E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5D7EA8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obračunavanje</w:t>
      </w:r>
      <w:proofErr w:type="spellEnd"/>
      <w:r w:rsidR="006D368E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D368E"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rizika</w:t>
      </w:r>
      <w:proofErr w:type="spellEnd"/>
    </w:p>
    <w:p w14:paraId="587FCD05" w14:textId="645D6E07" w:rsidR="00EF79F2" w:rsidRPr="0067787E" w:rsidRDefault="009624B1" w:rsidP="0067787E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="005C367E" w:rsidRPr="005B733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10</w:t>
      </w:r>
    </w:p>
    <w:p w14:paraId="4322DB2B" w14:textId="42DDE855" w:rsidR="00AA4C4F" w:rsidRDefault="000F7C4C" w:rsidP="006D3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Fond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od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Centralne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banke</w:t>
      </w:r>
      <w:proofErr w:type="spellEnd"/>
      <w:r w:rsidR="00C66F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66F3D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C66F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66F3D">
        <w:rPr>
          <w:rFonts w:ascii="Arial" w:eastAsiaTheme="minorEastAsia" w:hAnsi="Arial" w:cs="Arial"/>
          <w:sz w:val="24"/>
          <w:szCs w:val="24"/>
          <w:lang w:eastAsia="en-GB"/>
        </w:rPr>
        <w:t>kreditnih</w:t>
      </w:r>
      <w:proofErr w:type="spellEnd"/>
      <w:r w:rsidR="00C66F3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66F3D">
        <w:rPr>
          <w:rFonts w:ascii="Arial" w:eastAsiaTheme="minorEastAsia" w:hAnsi="Arial" w:cs="Arial"/>
          <w:sz w:val="24"/>
          <w:szCs w:val="24"/>
          <w:lang w:eastAsia="en-GB"/>
        </w:rPr>
        <w:t>institucija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dobi</w:t>
      </w:r>
      <w:r w:rsidR="00EB1CB9">
        <w:rPr>
          <w:rFonts w:ascii="Arial" w:eastAsiaTheme="minorEastAsia" w:hAnsi="Arial" w:cs="Arial"/>
          <w:sz w:val="24"/>
          <w:szCs w:val="24"/>
          <w:lang w:eastAsia="en-GB"/>
        </w:rPr>
        <w:t>ja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podatke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5C367E"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za </w:t>
      </w:r>
      <w:proofErr w:type="spellStart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>obračun</w:t>
      </w:r>
      <w:proofErr w:type="spellEnd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>stepena</w:t>
      </w:r>
      <w:proofErr w:type="spellEnd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>rizičnosti</w:t>
      </w:r>
      <w:proofErr w:type="spellEnd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>pojedine</w:t>
      </w:r>
      <w:proofErr w:type="spellEnd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>kreditne</w:t>
      </w:r>
      <w:proofErr w:type="spellEnd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724E35" w:rsidRPr="00CD67DE">
        <w:rPr>
          <w:rFonts w:ascii="Arial" w:eastAsiaTheme="minorEastAsia" w:hAnsi="Arial" w:cs="Arial"/>
          <w:sz w:val="24"/>
          <w:szCs w:val="24"/>
          <w:lang w:eastAsia="en-GB"/>
        </w:rPr>
        <w:t>institucije</w:t>
      </w:r>
      <w:proofErr w:type="spellEnd"/>
      <w:r w:rsidR="00724E35">
        <w:rPr>
          <w:rFonts w:ascii="Arial" w:eastAsiaTheme="minorEastAsia" w:hAnsi="Arial" w:cs="Arial"/>
          <w:sz w:val="24"/>
          <w:szCs w:val="24"/>
          <w:lang w:eastAsia="en-GB"/>
        </w:rPr>
        <w:t>.</w:t>
      </w:r>
      <w:r w:rsidR="007A08B2"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Start w:id="10" w:name="_Hlk59542395"/>
    </w:p>
    <w:bookmarkEnd w:id="10"/>
    <w:p w14:paraId="65B1737C" w14:textId="77777777" w:rsidR="00895F4A" w:rsidRDefault="00895F4A" w:rsidP="006D3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5372507" w14:textId="5EE4F707" w:rsidR="006D368E" w:rsidRPr="00797ECB" w:rsidRDefault="006D368E" w:rsidP="002F6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="00F46236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izračunavanje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0F7C4C"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obračunsku</w:t>
      </w:r>
      <w:proofErr w:type="spellEnd"/>
      <w:r w:rsidR="000F7C4C"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F7C4C"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r w:rsidR="00F46236"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Fond</w:t>
      </w:r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: </w:t>
      </w:r>
    </w:p>
    <w:p w14:paraId="3F6BABCA" w14:textId="4B742E0B" w:rsidR="00CD67DE" w:rsidRPr="00797ECB" w:rsidRDefault="006D368E" w:rsidP="00D762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kraju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1F539A" w:rsidRPr="00797ECB">
        <w:rPr>
          <w:rFonts w:ascii="Arial" w:eastAsiaTheme="minorEastAsia" w:hAnsi="Arial" w:cs="Arial"/>
          <w:sz w:val="24"/>
          <w:szCs w:val="24"/>
          <w:lang w:eastAsia="en-GB"/>
        </w:rPr>
        <w:t>prethodne</w:t>
      </w:r>
      <w:proofErr w:type="spellEnd"/>
      <w:r w:rsidR="001F539A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poslovne</w:t>
      </w:r>
      <w:proofErr w:type="spellEnd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godine</w:t>
      </w:r>
      <w:proofErr w:type="spellEnd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>iz</w:t>
      </w:r>
      <w:proofErr w:type="spellEnd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>revidovanih</w:t>
      </w:r>
      <w:proofErr w:type="spellEnd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>finansijskih</w:t>
      </w:r>
      <w:proofErr w:type="spellEnd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>izvještaja</w:t>
      </w:r>
      <w:proofErr w:type="spellEnd"/>
      <w:r w:rsidR="00B74060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B74060" w:rsidRPr="00797ECB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B74060" w:rsidRPr="00797ECB">
        <w:rPr>
          <w:rFonts w:ascii="Arial" w:eastAsiaTheme="minorEastAsia" w:hAnsi="Arial" w:cs="Arial"/>
          <w:sz w:val="24"/>
          <w:szCs w:val="24"/>
          <w:lang w:eastAsia="en-GB"/>
        </w:rPr>
        <w:t>/</w:t>
      </w:r>
      <w:proofErr w:type="spellStart"/>
      <w:r w:rsidR="00B74060" w:rsidRPr="00797ECB">
        <w:rPr>
          <w:rFonts w:ascii="Arial" w:eastAsiaTheme="minorEastAsia" w:hAnsi="Arial" w:cs="Arial"/>
          <w:sz w:val="24"/>
          <w:szCs w:val="24"/>
          <w:lang w:eastAsia="en-GB"/>
        </w:rPr>
        <w:t>ili</w:t>
      </w:r>
      <w:proofErr w:type="spellEnd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>,</w:t>
      </w:r>
    </w:p>
    <w:p w14:paraId="113F4B1F" w14:textId="20AA3F20" w:rsidR="00CD67DE" w:rsidRPr="00797ECB" w:rsidRDefault="006D368E" w:rsidP="00D762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prosječnu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kraju</w:t>
      </w:r>
      <w:proofErr w:type="spellEnd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dvije</w:t>
      </w:r>
      <w:proofErr w:type="spellEnd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uzastopne</w:t>
      </w:r>
      <w:proofErr w:type="spellEnd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poslovne</w:t>
      </w:r>
      <w:proofErr w:type="spellEnd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F16DEF" w:rsidRPr="00797ECB">
        <w:rPr>
          <w:rFonts w:ascii="Arial" w:eastAsiaTheme="minorEastAsia" w:hAnsi="Arial" w:cs="Arial"/>
          <w:sz w:val="24"/>
          <w:szCs w:val="24"/>
          <w:lang w:eastAsia="en-GB"/>
        </w:rPr>
        <w:t>godine</w:t>
      </w:r>
      <w:proofErr w:type="spellEnd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CD67DE" w:rsidRPr="00797ECB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</w:p>
    <w:p w14:paraId="3E4460D4" w14:textId="7BB196C8" w:rsidR="00CD67DE" w:rsidRPr="00797ECB" w:rsidRDefault="00CD67DE" w:rsidP="00D762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prosječnu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nivou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bankarskog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sistema</w:t>
      </w:r>
      <w:proofErr w:type="spellEnd"/>
      <w:r w:rsidR="00914C51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za </w:t>
      </w:r>
      <w:proofErr w:type="spellStart"/>
      <w:r w:rsidR="00914C51" w:rsidRPr="00797ECB">
        <w:rPr>
          <w:rFonts w:ascii="Arial" w:eastAsiaTheme="minorEastAsia" w:hAnsi="Arial" w:cs="Arial"/>
          <w:sz w:val="24"/>
          <w:szCs w:val="24"/>
          <w:lang w:eastAsia="en-GB"/>
        </w:rPr>
        <w:t>prethodnu</w:t>
      </w:r>
      <w:proofErr w:type="spellEnd"/>
      <w:r w:rsidR="00914C51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914C51" w:rsidRPr="00797ECB">
        <w:rPr>
          <w:rFonts w:ascii="Arial" w:eastAsiaTheme="minorEastAsia" w:hAnsi="Arial" w:cs="Arial"/>
          <w:sz w:val="24"/>
          <w:szCs w:val="24"/>
          <w:lang w:eastAsia="en-GB"/>
        </w:rPr>
        <w:t>poslovnu</w:t>
      </w:r>
      <w:proofErr w:type="spellEnd"/>
      <w:r w:rsidR="00914C51"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914C51" w:rsidRPr="00797ECB">
        <w:rPr>
          <w:rFonts w:ascii="Arial" w:eastAsiaTheme="minorEastAsia" w:hAnsi="Arial" w:cs="Arial"/>
          <w:sz w:val="24"/>
          <w:szCs w:val="24"/>
          <w:lang w:eastAsia="en-GB"/>
        </w:rPr>
        <w:t>godinu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100C7DC3" w14:textId="1A2E02D7" w:rsidR="00895F4A" w:rsidRDefault="006D368E" w:rsidP="000D03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722FA0DC" w14:textId="77777777" w:rsidR="003001A8" w:rsidRPr="00797ECB" w:rsidRDefault="003001A8" w:rsidP="000D03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Cs/>
          <w:sz w:val="24"/>
          <w:szCs w:val="24"/>
          <w:lang w:val="en-US" w:eastAsia="en-GB"/>
        </w:rPr>
      </w:pPr>
    </w:p>
    <w:p w14:paraId="142534AD" w14:textId="35190DF1" w:rsidR="005F0576" w:rsidRDefault="005F0576" w:rsidP="00FE2FB8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IV. OBRA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sr-Latn-ME" w:eastAsia="en-GB"/>
        </w:rPr>
        <w:t>Č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UN PREMIJE</w:t>
      </w:r>
    </w:p>
    <w:p w14:paraId="3DF9D1F5" w14:textId="423AA59F" w:rsidR="00722B8A" w:rsidRDefault="00E614EE" w:rsidP="00BD7AA0">
      <w:pPr>
        <w:autoSpaceDE w:val="0"/>
        <w:autoSpaceDN w:val="0"/>
        <w:adjustRightInd w:val="0"/>
        <w:spacing w:before="200" w:after="0" w:line="36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Formula za </w:t>
      </w:r>
      <w:proofErr w:type="spellStart"/>
      <w:r w:rsidR="00AB023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ob</w:t>
      </w: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računavanje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redovne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premije</w:t>
      </w:r>
      <w:proofErr w:type="spellEnd"/>
    </w:p>
    <w:p w14:paraId="696612E2" w14:textId="77777777" w:rsidR="0067787E" w:rsidRDefault="00E614EE" w:rsidP="0067787E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C50A11" w:rsidRPr="00C66F3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11</w:t>
      </w:r>
    </w:p>
    <w:p w14:paraId="23B8E89A" w14:textId="29140E20" w:rsidR="00E614EE" w:rsidRPr="0067787E" w:rsidRDefault="00E614EE" w:rsidP="006778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AB023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računava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primjenom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sljedeće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formule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p w14:paraId="6FFF5E2D" w14:textId="77777777" w:rsidR="00E614EE" w:rsidRPr="005B7337" w:rsidRDefault="00E614EE" w:rsidP="00B04543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</w:pPr>
      <w:bookmarkStart w:id="11" w:name="_Hlk57883277"/>
      <w:r w:rsidRPr="005B733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  <w:t>RP-</w:t>
      </w:r>
      <w:proofErr w:type="spellStart"/>
      <w:r w:rsidRPr="005B733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  <w:t>ki</w:t>
      </w:r>
      <w:proofErr w:type="spellEnd"/>
      <w:r w:rsidRPr="005B733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  <w:t xml:space="preserve"> = PS * SR-</w:t>
      </w:r>
      <w:proofErr w:type="spellStart"/>
      <w:r w:rsidRPr="005B733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  <w:t>ki</w:t>
      </w:r>
      <w:proofErr w:type="spellEnd"/>
      <w:r w:rsidRPr="005B733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  <w:t xml:space="preserve"> * GD-</w:t>
      </w:r>
      <w:proofErr w:type="spellStart"/>
      <w:r w:rsidRPr="005B733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  <w:t>ki</w:t>
      </w:r>
      <w:proofErr w:type="spellEnd"/>
      <w:r w:rsidRPr="005B733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 w:eastAsia="en-GB"/>
        </w:rPr>
        <w:t xml:space="preserve"> * µ</w:t>
      </w:r>
    </w:p>
    <w:p w14:paraId="32CCE24E" w14:textId="77777777" w:rsidR="00E614EE" w:rsidRPr="005B7337" w:rsidRDefault="00E614EE" w:rsidP="00B0454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Gdje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je:</w:t>
      </w:r>
    </w:p>
    <w:p w14:paraId="79128AD9" w14:textId="56210044" w:rsidR="00E614EE" w:rsidRPr="005B7337" w:rsidRDefault="00E614EE" w:rsidP="00B0454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RP-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=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57658FBB" w14:textId="77777777" w:rsidR="00E614EE" w:rsidRPr="005B7337" w:rsidRDefault="00E614EE" w:rsidP="00B04543">
      <w:pPr>
        <w:numPr>
          <w:ilvl w:val="0"/>
          <w:numId w:val="2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PS 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=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stopa</w:t>
      </w:r>
      <w:proofErr w:type="spellEnd"/>
    </w:p>
    <w:p w14:paraId="6E47DE29" w14:textId="77777777" w:rsidR="00E614EE" w:rsidRPr="005B7337" w:rsidRDefault="00E614EE" w:rsidP="00B04543">
      <w:pPr>
        <w:numPr>
          <w:ilvl w:val="0"/>
          <w:numId w:val="2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SR-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=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5622B3F1" w14:textId="77777777" w:rsidR="00E614EE" w:rsidRPr="005B7337" w:rsidRDefault="00E614EE" w:rsidP="00B04543">
      <w:pPr>
        <w:numPr>
          <w:ilvl w:val="0"/>
          <w:numId w:val="2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GD-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=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osnovica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)</w:t>
      </w:r>
    </w:p>
    <w:p w14:paraId="10C66808" w14:textId="48AF6D01" w:rsidR="00E614EE" w:rsidRPr="005B7337" w:rsidRDefault="00E614EE" w:rsidP="00BD22D4">
      <w:pPr>
        <w:numPr>
          <w:ilvl w:val="0"/>
          <w:numId w:val="2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µ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=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prilagodjavanja</w:t>
      </w:r>
      <w:bookmarkEnd w:id="11"/>
      <w:proofErr w:type="spellEnd"/>
    </w:p>
    <w:p w14:paraId="2691C038" w14:textId="5495F906" w:rsidR="00E614EE" w:rsidRPr="005B7337" w:rsidRDefault="00E614EE" w:rsidP="00E614EE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stopa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jednaka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2F173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F173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2F173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F173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iznosi</w:t>
      </w:r>
      <w:proofErr w:type="spellEnd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1,2</w:t>
      </w:r>
      <w:r w:rsidR="00C66F3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0</w:t>
      </w:r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% </w:t>
      </w:r>
      <w:proofErr w:type="spellStart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godišnjem</w:t>
      </w:r>
      <w:proofErr w:type="spellEnd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nivou</w:t>
      </w:r>
      <w:proofErr w:type="spellEnd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a za </w:t>
      </w:r>
      <w:proofErr w:type="spellStart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¼</w:t>
      </w:r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stope </w:t>
      </w:r>
      <w:proofErr w:type="spellStart"/>
      <w:r w:rsidR="00F16D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odnosno</w:t>
      </w:r>
      <w:proofErr w:type="spellEnd"/>
      <w:r w:rsidR="002F173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0</w:t>
      </w:r>
      <w:r w:rsidR="000E4C2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="002F173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30% </w:t>
      </w:r>
      <w:proofErr w:type="spellStart"/>
      <w:r w:rsidR="002F173F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tromjesečno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4087D87E" w14:textId="27187C82" w:rsidR="00E614EE" w:rsidRPr="005B7337" w:rsidRDefault="00E614EE" w:rsidP="00E614EE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bookmarkStart w:id="12" w:name="_Hlk57971109"/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iskazan</w:t>
      </w:r>
      <w:proofErr w:type="spellEnd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kroz</w:t>
      </w:r>
      <w:proofErr w:type="spellEnd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klase</w:t>
      </w:r>
      <w:proofErr w:type="spellEnd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E4C26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izračunat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kao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dobijenih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pojedinačnih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skladu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bookmarkEnd w:id="12"/>
      <w:proofErr w:type="spellStart"/>
      <w:r w:rsidR="00E7387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članom</w:t>
      </w:r>
      <w:proofErr w:type="spellEnd"/>
      <w:r w:rsidR="00E7387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F01E2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7</w:t>
      </w:r>
      <w:r w:rsidR="00F01E2F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7387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ove</w:t>
      </w:r>
      <w:proofErr w:type="spellEnd"/>
      <w:r w:rsidR="00E7387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73879"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metodologije</w:t>
      </w:r>
      <w:proofErr w:type="spellEnd"/>
      <w:r w:rsidRPr="001E23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368943CC" w14:textId="6EEA5E39" w:rsidR="00E614EE" w:rsidRPr="005B7337" w:rsidRDefault="00E614EE" w:rsidP="00E614EE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osnovicu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6749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Za </w:t>
      </w:r>
      <w:proofErr w:type="spellStart"/>
      <w:r w:rsidR="006749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="006749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749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6749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749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="0067498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prosječan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tromjesečje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koji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prosjek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zadnjeg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dana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mjeseca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tromjesečju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11355488" w14:textId="14670AFB" w:rsidR="00E614EE" w:rsidRPr="005B7337" w:rsidRDefault="00E614EE" w:rsidP="00E614EE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lastRenderedPageBreak/>
        <w:t>Koeficijent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prilagođavanja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bi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prilagodio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neprilagodjenih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da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dostignu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godišnji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kako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ukupne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ne bi bile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previsoke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ili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preniske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45F89177" w14:textId="77777777" w:rsidR="00E614EE" w:rsidRPr="005B7337" w:rsidRDefault="00E614EE" w:rsidP="00E614EE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prilagođavanja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primjenom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sledeće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formule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p w14:paraId="46AADA23" w14:textId="237F44DD" w:rsidR="003001A8" w:rsidRPr="00BD7AA0" w:rsidRDefault="00E614EE" w:rsidP="003001A8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ab/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ab/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ab/>
      </w:r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µ = </w:t>
      </w:r>
      <w:proofErr w:type="spellStart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godišnji</w:t>
      </w:r>
      <w:proofErr w:type="spellEnd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="00674987"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/ </w:t>
      </w:r>
      <w:proofErr w:type="spellStart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</w:t>
      </w:r>
      <w:proofErr w:type="spellEnd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neprilagođenih</w:t>
      </w:r>
      <w:proofErr w:type="spellEnd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godišnjih</w:t>
      </w:r>
      <w:proofErr w:type="spellEnd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842F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</w:p>
    <w:p w14:paraId="24C32530" w14:textId="4464CD19" w:rsidR="006D2204" w:rsidRPr="0067787E" w:rsidRDefault="00EB1CB9" w:rsidP="00BD7AA0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Godišnji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ciljani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iznos</w:t>
      </w:r>
      <w:proofErr w:type="spellEnd"/>
    </w:p>
    <w:p w14:paraId="5C63310C" w14:textId="77777777" w:rsidR="0067787E" w:rsidRDefault="00EB1CB9" w:rsidP="0067787E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color w:val="FF0000"/>
          <w:sz w:val="24"/>
          <w:szCs w:val="24"/>
          <w:lang w:val="en-US" w:eastAsia="en-GB"/>
        </w:rPr>
      </w:pPr>
      <w:proofErr w:type="spellStart"/>
      <w:r w:rsidRPr="005B7337">
        <w:rPr>
          <w:rFonts w:ascii="Arial" w:eastAsiaTheme="minorEastAsia" w:hAnsi="Arial" w:cs="Arial"/>
          <w:b/>
          <w:color w:val="000000"/>
          <w:sz w:val="24"/>
          <w:szCs w:val="24"/>
          <w:lang w:val="en-US"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color w:val="000000"/>
          <w:sz w:val="24"/>
          <w:szCs w:val="24"/>
          <w:lang w:val="en-US" w:eastAsia="en-GB"/>
        </w:rPr>
        <w:t xml:space="preserve"> </w:t>
      </w:r>
      <w:bookmarkStart w:id="13" w:name="_Hlk50383921"/>
      <w:r w:rsidRPr="00797ECB">
        <w:rPr>
          <w:rFonts w:ascii="Arial" w:eastAsiaTheme="minorEastAsia" w:hAnsi="Arial" w:cs="Arial"/>
          <w:b/>
          <w:sz w:val="24"/>
          <w:szCs w:val="24"/>
          <w:lang w:val="en-US" w:eastAsia="en-GB"/>
        </w:rPr>
        <w:t>1</w:t>
      </w:r>
      <w:r w:rsidR="000D037C" w:rsidRPr="00797ECB">
        <w:rPr>
          <w:rFonts w:ascii="Arial" w:eastAsiaTheme="minorEastAsia" w:hAnsi="Arial" w:cs="Arial"/>
          <w:b/>
          <w:sz w:val="24"/>
          <w:szCs w:val="24"/>
          <w:lang w:val="en-US" w:eastAsia="en-GB"/>
        </w:rPr>
        <w:t>2</w:t>
      </w:r>
    </w:p>
    <w:p w14:paraId="152E8833" w14:textId="640CDC10" w:rsidR="004F6DA2" w:rsidRPr="0067787E" w:rsidRDefault="004F6DA2" w:rsidP="006778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FF0000"/>
          <w:sz w:val="24"/>
          <w:szCs w:val="24"/>
          <w:lang w:val="en-US" w:eastAsia="en-GB"/>
        </w:rPr>
      </w:pP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Prvobitni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najmanje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10%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ukupnih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svih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kreditnih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članica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01E2F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sistema</w:t>
      </w:r>
      <w:proofErr w:type="spellEnd"/>
      <w:r w:rsidR="00F01E2F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01E2F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zastite</w:t>
      </w:r>
      <w:proofErr w:type="spellEnd"/>
      <w:r w:rsidR="00F01E2F"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predstavlja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koji Fond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planira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prikupi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početnoj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fazi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akumulacije</w:t>
      </w:r>
      <w:proofErr w:type="spellEnd"/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do 31.</w:t>
      </w:r>
      <w:r w:rsidR="00C35DE8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decembra </w:t>
      </w:r>
      <w:r w:rsidRPr="005B27EF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2024. </w:t>
      </w:r>
      <w:proofErr w:type="spellStart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A416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5D62115D" w14:textId="6418BE14" w:rsidR="00EB1CB9" w:rsidRPr="00797ECB" w:rsidRDefault="00EB1CB9" w:rsidP="00EB1CB9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Utvrđivanje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godišnjeg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ciljanog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iznosa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vrši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se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način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što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se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razlika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procijenjenog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ciljanog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iznosa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Start w:id="14" w:name="_Hlk58488938"/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31.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decembar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End w:id="14"/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zadnje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godine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faze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akumulacije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procjenjenog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iznosa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sredstava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Fonda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31. </w:t>
      </w:r>
      <w:proofErr w:type="spellStart"/>
      <w:r w:rsidRPr="0052486A">
        <w:rPr>
          <w:rFonts w:ascii="Arial" w:eastAsiaTheme="minorEastAsia" w:hAnsi="Arial" w:cs="Arial"/>
          <w:sz w:val="24"/>
          <w:szCs w:val="24"/>
          <w:lang w:eastAsia="en-GB"/>
        </w:rPr>
        <w:t>decembar</w:t>
      </w:r>
      <w:proofErr w:type="spellEnd"/>
      <w:r w:rsidRPr="0052486A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27B26" w:rsidRPr="0052486A">
        <w:rPr>
          <w:rFonts w:ascii="Arial" w:eastAsiaTheme="minorEastAsia" w:hAnsi="Arial" w:cs="Arial"/>
          <w:sz w:val="24"/>
          <w:szCs w:val="24"/>
          <w:lang w:eastAsia="en-GB"/>
        </w:rPr>
        <w:t>tekuće</w:t>
      </w:r>
      <w:proofErr w:type="spellEnd"/>
      <w:r w:rsidRPr="0052486A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52486A">
        <w:rPr>
          <w:rFonts w:ascii="Arial" w:eastAsiaTheme="minorEastAsia" w:hAnsi="Arial" w:cs="Arial"/>
          <w:sz w:val="24"/>
          <w:szCs w:val="24"/>
          <w:lang w:eastAsia="en-GB"/>
        </w:rPr>
        <w:t>godine</w:t>
      </w:r>
      <w:proofErr w:type="spellEnd"/>
      <w:r w:rsidRPr="005B27EF">
        <w:rPr>
          <w:rFonts w:ascii="Arial" w:eastAsiaTheme="minorEastAsia" w:hAnsi="Arial" w:cs="Arial"/>
          <w:b/>
          <w:bCs/>
          <w:color w:val="FF0000"/>
          <w:sz w:val="24"/>
          <w:szCs w:val="24"/>
          <w:u w:val="single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podijeli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sa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brojem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preostalih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godina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do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kraja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 faze </w:t>
      </w:r>
      <w:proofErr w:type="spellStart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>akumulacije</w:t>
      </w:r>
      <w:proofErr w:type="spellEnd"/>
      <w:r w:rsidRPr="00797ECB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3E4D27E8" w14:textId="60CEDFB1" w:rsidR="008524DB" w:rsidRDefault="008524DB" w:rsidP="005842F3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Godišnji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utvrdjuje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="008661E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dlukom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visini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ukupno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do 15.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oktobra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tekuće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narednu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5E785C51" w14:textId="735B36F8" w:rsidR="008524DB" w:rsidRPr="00CD67DE" w:rsidRDefault="008524DB" w:rsidP="008524DB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Kad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</w:t>
      </w:r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</w:t>
      </w:r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dstva</w:t>
      </w:r>
      <w:proofErr w:type="spellEnd"/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Fonda</w:t>
      </w:r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dostign</w:t>
      </w:r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godišnji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utvrđuje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bazi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planiranog</w:t>
      </w:r>
      <w:proofErr w:type="spellEnd"/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rasta</w:t>
      </w:r>
      <w:proofErr w:type="spellEnd"/>
      <w:r w:rsidR="005C34EA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</w:t>
      </w:r>
      <w:r w:rsidRPr="008E678C">
        <w:rPr>
          <w:rFonts w:ascii="Arial" w:eastAsiaTheme="minorEastAsia" w:hAnsi="Arial" w:cs="Arial"/>
          <w:sz w:val="24"/>
          <w:szCs w:val="24"/>
          <w:lang w:eastAsia="en-GB"/>
        </w:rPr>
        <w:t>epozita</w:t>
      </w:r>
      <w:proofErr w:type="spellEnd"/>
      <w:r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planiranih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troškova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poslovanja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Fonda za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godinu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za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koju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se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utvrđuje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godišnji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ciljani</w:t>
      </w:r>
      <w:proofErr w:type="spellEnd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5C34EA" w:rsidRPr="008E678C">
        <w:rPr>
          <w:rFonts w:ascii="Arial" w:eastAsiaTheme="minorEastAsia" w:hAnsi="Arial" w:cs="Arial"/>
          <w:sz w:val="24"/>
          <w:szCs w:val="24"/>
          <w:lang w:eastAsia="en-GB"/>
        </w:rPr>
        <w:t>iznos</w:t>
      </w:r>
      <w:proofErr w:type="spellEnd"/>
      <w:r w:rsidRPr="008E678C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2C05C20A" w14:textId="3100D33D" w:rsidR="005842F3" w:rsidRDefault="00EB1CB9" w:rsidP="005842F3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fazi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aukumulacije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raspodjeljuje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što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ravnomjernije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moguće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dok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ne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dostigne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sredstava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Fonda. </w:t>
      </w:r>
    </w:p>
    <w:p w14:paraId="1BD43AC0" w14:textId="68801745" w:rsidR="005842F3" w:rsidRPr="005B7337" w:rsidRDefault="005842F3" w:rsidP="005842F3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311D8E2C" w14:textId="6596CF91" w:rsidR="00EB1CB9" w:rsidRPr="00CD67DE" w:rsidRDefault="00EB1CB9" w:rsidP="00EB1C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Ako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sredstva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Fonda,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nakon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dostizanja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minimalnog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iznosa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od 10%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ukupnih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garantovanih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depozita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svih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kreditnih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institucija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smanje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manje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od 6%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iznosa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ukupnih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garantovanih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depozita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svih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kreditnih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institucija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, u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skladu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sa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članom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37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stav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3</w:t>
      </w:r>
      <w:r w:rsidR="001918A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1918AD">
        <w:rPr>
          <w:rFonts w:ascii="Arial" w:eastAsiaTheme="minorEastAsia" w:hAnsi="Arial" w:cs="Arial"/>
          <w:sz w:val="24"/>
          <w:szCs w:val="24"/>
          <w:lang w:eastAsia="en-GB"/>
        </w:rPr>
        <w:t>Zakona</w:t>
      </w:r>
      <w:proofErr w:type="spellEnd"/>
      <w:r w:rsidR="001918AD"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utvrđuje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se nova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faza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>akumulacije</w:t>
      </w:r>
      <w:proofErr w:type="spellEnd"/>
      <w:r w:rsidRPr="00CD67DE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bookmarkEnd w:id="13"/>
    <w:p w14:paraId="55E3FD55" w14:textId="77777777" w:rsidR="00EB1CB9" w:rsidRPr="00CD67DE" w:rsidRDefault="00EB1CB9" w:rsidP="00EB1C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32EB5E56" w14:textId="144C417C" w:rsidR="00EB1CB9" w:rsidRPr="005B7337" w:rsidRDefault="00EB1CB9" w:rsidP="00EB1C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Nova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faza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akumulacije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započinje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nakon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kojoj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došlo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smanjenja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ciljnog</w:t>
      </w:r>
      <w:proofErr w:type="spellEnd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D67D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iznosa</w:t>
      </w:r>
      <w:proofErr w:type="spellEnd"/>
      <w:r w:rsidR="001918A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="001918A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odišnji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odnos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odrediti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način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da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minimalni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nivo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može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dostići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roku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od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šest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0A8ECF4E" w14:textId="199CAFB3" w:rsidR="00EB1CB9" w:rsidRDefault="00EB1CB9" w:rsidP="00EB1CB9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Fond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može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povećati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ili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smanjiti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godišnji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ciljani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kako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bi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odražavao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razvoj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događaja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ciklusu</w:t>
      </w:r>
      <w:proofErr w:type="spellEnd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D22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procikličnog</w:t>
      </w:r>
      <w:proofErr w:type="spellEnd"/>
      <w:r w:rsidR="006D22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D22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uticaja</w:t>
      </w:r>
      <w:proofErr w:type="spellEnd"/>
      <w:r w:rsidR="006D22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D22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6D220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visinu</w:t>
      </w:r>
      <w:proofErr w:type="spellEnd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opterećenja</w:t>
      </w:r>
      <w:proofErr w:type="spellEnd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članica</w:t>
      </w:r>
      <w:proofErr w:type="spellEnd"/>
      <w:r w:rsidR="006D220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Fonda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4CF20E35" w14:textId="1D7E0119" w:rsidR="002976ED" w:rsidRPr="005B7337" w:rsidRDefault="00242576" w:rsidP="00BD7AA0">
      <w:pPr>
        <w:shd w:val="clear" w:color="auto" w:fill="FFFFFF"/>
        <w:spacing w:line="360" w:lineRule="atLeast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Koraci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izračunavanje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redovne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premije</w:t>
      </w:r>
      <w:proofErr w:type="spellEnd"/>
    </w:p>
    <w:p w14:paraId="395304E2" w14:textId="36CCCE72" w:rsidR="00242576" w:rsidRPr="005B7337" w:rsidRDefault="00242576" w:rsidP="00BD7AA0">
      <w:pPr>
        <w:shd w:val="clear" w:color="auto" w:fill="FFFFFF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97ECB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1</w:t>
      </w:r>
      <w:r w:rsidR="000D037C" w:rsidRPr="00797ECB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3</w:t>
      </w:r>
    </w:p>
    <w:p w14:paraId="3B0ACE89" w14:textId="4D7E58C0" w:rsidR="002976ED" w:rsidRPr="0067787E" w:rsidRDefault="00B25F5F" w:rsidP="0067787E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Akontativni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prve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druge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rate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obračunsku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42AA6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vrši</w:t>
      </w:r>
      <w:proofErr w:type="spellEnd"/>
      <w:r w:rsidR="00E42AA6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</w:t>
      </w:r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A546F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0A546F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bazi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stepena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E17B6B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17B6B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="00E17B6B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17B6B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="00E17B6B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17B6B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="00B966AF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A546F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utvrđen</w:t>
      </w:r>
      <w:proofErr w:type="spellEnd"/>
      <w:r w:rsidR="000A546F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prethodnu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="00E17B6B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;</w:t>
      </w:r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70A3FFB5" w14:textId="5FAFE97B" w:rsidR="002976ED" w:rsidRPr="0067787E" w:rsidRDefault="00E42AA6" w:rsidP="0067787E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Izračunavanje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vrijednosti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svih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pokazatelja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izračunavanje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ocjene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DB0FC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B0FC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dodjelјivanje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stepena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svakoj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kreditnoj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instituciji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443100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443100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obračunsku</w:t>
      </w:r>
      <w:proofErr w:type="spellEnd"/>
      <w:r w:rsidR="00443100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43100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="002976ED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;</w:t>
      </w:r>
      <w:r w:rsidR="00443100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B966AF"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</w:p>
    <w:p w14:paraId="6007976F" w14:textId="49F54D9A" w:rsidR="00E42AA6" w:rsidRPr="0067787E" w:rsidRDefault="00E42AA6" w:rsidP="0067787E">
      <w:pPr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Uskladjivanje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neprilagodjenih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kvartalnih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premija</w:t>
      </w:r>
      <w:proofErr w:type="spellEnd"/>
      <w:r w:rsidRPr="0067787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sz w:val="24"/>
          <w:szCs w:val="24"/>
          <w:lang w:eastAsia="en-GB"/>
        </w:rPr>
        <w:t>sa</w:t>
      </w:r>
      <w:proofErr w:type="spellEnd"/>
      <w:r w:rsidRPr="0067787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sz w:val="24"/>
          <w:szCs w:val="24"/>
          <w:lang w:eastAsia="en-GB"/>
        </w:rPr>
        <w:t>godišnjim</w:t>
      </w:r>
      <w:proofErr w:type="spellEnd"/>
      <w:r w:rsidRPr="0067787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sz w:val="24"/>
          <w:szCs w:val="24"/>
          <w:lang w:eastAsia="en-GB"/>
        </w:rPr>
        <w:t>ciljanim</w:t>
      </w:r>
      <w:proofErr w:type="spellEnd"/>
      <w:r w:rsidRPr="0067787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67787E">
        <w:rPr>
          <w:rFonts w:ascii="Arial" w:eastAsiaTheme="minorEastAsia" w:hAnsi="Arial" w:cs="Arial"/>
          <w:sz w:val="24"/>
          <w:szCs w:val="24"/>
          <w:lang w:eastAsia="en-GB"/>
        </w:rPr>
        <w:t>iznosom</w:t>
      </w:r>
      <w:proofErr w:type="spellEnd"/>
      <w:r w:rsidR="002976ED" w:rsidRPr="0067787E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1A1D10A2" w14:textId="05FCD21C" w:rsidR="002976ED" w:rsidRPr="005B7337" w:rsidRDefault="00D517B7" w:rsidP="00BD7AA0">
      <w:pPr>
        <w:shd w:val="clear" w:color="auto" w:fill="FFFFFF"/>
        <w:spacing w:line="276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Obračun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rata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redovne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premije</w:t>
      </w:r>
      <w:proofErr w:type="spellEnd"/>
    </w:p>
    <w:p w14:paraId="4BEBD98F" w14:textId="5032245E" w:rsidR="00D517B7" w:rsidRPr="005B7337" w:rsidRDefault="00D517B7" w:rsidP="00BD7AA0">
      <w:pPr>
        <w:shd w:val="clear" w:color="auto" w:fill="FFFFFF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97ECB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1</w:t>
      </w:r>
      <w:r w:rsidR="000D037C" w:rsidRPr="00797ECB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4</w:t>
      </w:r>
    </w:p>
    <w:p w14:paraId="32062927" w14:textId="77777777" w:rsidR="00D517B7" w:rsidRPr="005B7337" w:rsidRDefault="00D517B7" w:rsidP="00D517B7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Obračun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prve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rate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redovne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prvi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:  </w:t>
      </w:r>
    </w:p>
    <w:p w14:paraId="1FFA8970" w14:textId="0275F14B" w:rsidR="00D517B7" w:rsidRPr="005B7337" w:rsidRDefault="00D517B7" w:rsidP="00C32184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osnovicu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prosječan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četvrtog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="00E1761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bookmarkStart w:id="15" w:name="_Hlk58847815"/>
      <w:bookmarkStart w:id="16" w:name="_Hlk58587475"/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E1761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7B4B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utvrdjen</w:t>
      </w:r>
      <w:proofErr w:type="spellEnd"/>
      <w:r w:rsidR="007B4BD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44310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r w:rsidR="00E1761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1761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prethodnu</w:t>
      </w:r>
      <w:proofErr w:type="spellEnd"/>
      <w:r w:rsidR="00E1761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17614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bookmarkStart w:id="17" w:name="_Hlk57974516"/>
      <w:bookmarkEnd w:id="15"/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;</w:t>
      </w:r>
    </w:p>
    <w:bookmarkEnd w:id="16"/>
    <w:bookmarkEnd w:id="17"/>
    <w:p w14:paraId="69774D00" w14:textId="0E3782AB" w:rsidR="00D517B7" w:rsidRPr="005B7337" w:rsidRDefault="00D517B7" w:rsidP="00D517B7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lastRenderedPageBreak/>
        <w:t>Obračun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druge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rate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redovne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drugi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p w14:paraId="20D1E580" w14:textId="163D8A84" w:rsidR="00D517B7" w:rsidRPr="009C3D03" w:rsidRDefault="00D517B7" w:rsidP="00D517B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osnovicu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prosječan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prvog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tekuće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bookmarkStart w:id="18" w:name="_Hlk58847867"/>
      <w:proofErr w:type="spellStart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1918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utvrđen</w:t>
      </w:r>
      <w:proofErr w:type="spellEnd"/>
      <w:r w:rsidR="00FC2D93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prethodnu</w:t>
      </w:r>
      <w:proofErr w:type="spellEnd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bookmarkEnd w:id="18"/>
      <w:proofErr w:type="spellEnd"/>
      <w:r w:rsidRPr="009C3D0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;</w:t>
      </w:r>
    </w:p>
    <w:p w14:paraId="4721D175" w14:textId="77777777" w:rsidR="00D517B7" w:rsidRPr="005B7337" w:rsidRDefault="00D517B7" w:rsidP="00D517B7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Obračun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treće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rate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redovne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treći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p w14:paraId="776D5449" w14:textId="519A4D07" w:rsidR="00D517B7" w:rsidRPr="005B7337" w:rsidRDefault="00D517B7" w:rsidP="00D517B7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osnovicu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prosječan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drugog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tekuce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–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utvrdjen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obračunsku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;</w:t>
      </w:r>
    </w:p>
    <w:p w14:paraId="05107B70" w14:textId="23D53155" w:rsidR="00055BAD" w:rsidRPr="005B7337" w:rsidRDefault="004371ED" w:rsidP="00D517B7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koliko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postoji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razlika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izmedju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311085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obračunskoj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godini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odnosu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4730B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="00E4730B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4730B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E4730B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prethodnu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Fond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</w:t>
      </w:r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treće</w:t>
      </w:r>
      <w:proofErr w:type="spellEnd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rate </w:t>
      </w:r>
      <w:proofErr w:type="spellStart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ukalkulisati</w:t>
      </w:r>
      <w:proofErr w:type="spellEnd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razliku</w:t>
      </w:r>
      <w:proofErr w:type="spellEnd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visini</w:t>
      </w:r>
      <w:proofErr w:type="spellEnd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D93"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istu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iskazati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fakturi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treću</w:t>
      </w:r>
      <w:proofErr w:type="spellEnd"/>
      <w:r w:rsidRPr="004F6DA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rat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u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(“+”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ili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“-“).</w:t>
      </w:r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Kreditna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institucija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će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D9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ukalkulisanu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pozitivnu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razliku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između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D9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akontativnog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obračuna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prve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D9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druge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rate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C2D93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platiti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zajedno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plaćanjem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treće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rate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Fond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za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razliku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nastalu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poboljšanjem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umanjiti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fakturu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treće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rate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270B1DC1" w14:textId="50978C82" w:rsidR="00D517B7" w:rsidRPr="005B7337" w:rsidRDefault="00D517B7" w:rsidP="00D517B7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Obračun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četvrte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rate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redovne</w:t>
      </w:r>
      <w:proofErr w:type="spellEnd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2D9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četvrti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="004371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</w:t>
      </w:r>
    </w:p>
    <w:p w14:paraId="708135B3" w14:textId="2789DB55" w:rsidR="00D517B7" w:rsidRPr="005B7337" w:rsidRDefault="00D517B7" w:rsidP="00D517B7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premijsku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osnovicu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prosječan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iznos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garantovanih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depozita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trećeg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kvartala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tekuće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utvrdjen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obračunsku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="00055BA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609676B3" w14:textId="77777777" w:rsidR="00BD22D4" w:rsidRPr="005B7337" w:rsidRDefault="00BD22D4" w:rsidP="00BD22D4">
      <w:pPr>
        <w:shd w:val="clear" w:color="auto" w:fill="FFFFFF"/>
        <w:spacing w:after="200" w:line="360" w:lineRule="atLeast"/>
        <w:ind w:left="720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val="en-US" w:eastAsia="en-GB"/>
        </w:rPr>
      </w:pPr>
    </w:p>
    <w:p w14:paraId="598D036F" w14:textId="11C998DC" w:rsidR="00BD7AA0" w:rsidRPr="005B7337" w:rsidRDefault="00D517B7" w:rsidP="00BD7AA0">
      <w:pPr>
        <w:shd w:val="clear" w:color="auto" w:fill="FFFFFF"/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Novoosnovane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institucije</w:t>
      </w:r>
      <w:proofErr w:type="spellEnd"/>
    </w:p>
    <w:p w14:paraId="3A0BB1E8" w14:textId="08CD1409" w:rsidR="00D517B7" w:rsidRDefault="00D517B7" w:rsidP="00BD7AA0">
      <w:pPr>
        <w:shd w:val="clear" w:color="auto" w:fill="FFFFFF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F0576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C50A11" w:rsidRPr="00E42AA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1</w:t>
      </w:r>
      <w:r w:rsidR="000D037C" w:rsidRPr="00E42AA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5</w:t>
      </w:r>
    </w:p>
    <w:p w14:paraId="3D26FDDC" w14:textId="6886D7EA" w:rsidR="00BD7AA0" w:rsidRDefault="00E42AA6" w:rsidP="00BD7AA0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Za </w:t>
      </w:r>
      <w:proofErr w:type="spellStart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="002976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novoosnovan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</w:t>
      </w: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koristi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se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110%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odnosno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klasa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725230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4</w:t>
      </w:r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1F39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primenjuje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do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kraja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treće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pune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B291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početka</w:t>
      </w:r>
      <w:proofErr w:type="spellEnd"/>
      <w:r w:rsidR="00CB291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B291E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poslovanja</w:t>
      </w:r>
      <w:proofErr w:type="spellEnd"/>
      <w:r w:rsidR="00D517B7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558B6FE9" w14:textId="77777777" w:rsidR="00BD7AA0" w:rsidRDefault="00BD7AA0" w:rsidP="00BD7AA0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5AB1B333" w14:textId="1BE5AF86" w:rsidR="002976ED" w:rsidRPr="00BD7AA0" w:rsidRDefault="002976ED" w:rsidP="00BD7AA0">
      <w:pPr>
        <w:shd w:val="clear" w:color="auto" w:fill="FFFFFF"/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Kreditne</w:t>
      </w:r>
      <w:proofErr w:type="spellEnd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institucije</w:t>
      </w:r>
      <w:proofErr w:type="spellEnd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periodu</w:t>
      </w:r>
      <w:proofErr w:type="spellEnd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privremene</w:t>
      </w:r>
      <w:proofErr w:type="spellEnd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43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uprave</w:t>
      </w:r>
      <w:proofErr w:type="spellEnd"/>
    </w:p>
    <w:p w14:paraId="2F1C98E9" w14:textId="72E16348" w:rsidR="004371ED" w:rsidRPr="005B7337" w:rsidRDefault="004371ED" w:rsidP="00BD7AA0">
      <w:pPr>
        <w:shd w:val="clear" w:color="auto" w:fill="FFFFFF"/>
        <w:spacing w:after="0" w:line="276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1</w:t>
      </w:r>
      <w:r w:rsidR="000D037C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6</w:t>
      </w:r>
    </w:p>
    <w:p w14:paraId="00856A4A" w14:textId="64818516" w:rsidR="0067787E" w:rsidRDefault="00674987" w:rsidP="001A35D3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periodu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uvođenja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privremen</w:t>
      </w:r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="004E260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E260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uprave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plaćaju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redovnu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premiju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po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koeficijentu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zbirnog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od 150%,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odnosno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klasi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7, bez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obzira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ranije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utvrđenu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klasu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rizika</w:t>
      </w:r>
      <w:proofErr w:type="spellEnd"/>
      <w:r w:rsidR="002743E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</w:p>
    <w:p w14:paraId="57DB7CAD" w14:textId="77777777" w:rsidR="003001A8" w:rsidRDefault="003001A8" w:rsidP="001A35D3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1F6AEE0A" w14:textId="3ED08ADB" w:rsidR="0052486A" w:rsidRPr="005B7337" w:rsidRDefault="00EB1CB9" w:rsidP="00BD7AA0">
      <w:pPr>
        <w:shd w:val="clear" w:color="auto" w:fill="FFFFFF"/>
        <w:spacing w:after="0" w:line="276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Vanredna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premija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1F39C234" w14:textId="6E41F557" w:rsidR="00EB1CB9" w:rsidRPr="005B7337" w:rsidRDefault="00EB1CB9" w:rsidP="00EB1CB9">
      <w:pPr>
        <w:shd w:val="clear" w:color="auto" w:fill="FFFFFF"/>
        <w:spacing w:after="0" w:line="360" w:lineRule="atLeast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E42AA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1</w:t>
      </w:r>
      <w:r w:rsidR="000D037C" w:rsidRPr="00E42AA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7</w:t>
      </w:r>
      <w:r w:rsidRPr="00E42AA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</w:p>
    <w:p w14:paraId="3F51023B" w14:textId="5464667F" w:rsidR="00EB1CB9" w:rsidRDefault="00EB1CB9" w:rsidP="00BD7AA0">
      <w:pPr>
        <w:pStyle w:val="NoSpacing"/>
        <w:spacing w:before="240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Kada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nastupe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okolnosti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skladu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38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stav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1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Zakona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Upravni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Fonda je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dužan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da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donese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odluku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uvođenju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vanredne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premije</w:t>
      </w:r>
      <w:proofErr w:type="spellEnd"/>
      <w:r w:rsidR="00E42AA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21CF5BD7" w14:textId="77777777" w:rsidR="00EB1CB9" w:rsidRPr="005B7337" w:rsidRDefault="00EB1CB9" w:rsidP="00EB1CB9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14:paraId="2B0308BF" w14:textId="7BC86DE2" w:rsidR="00EB1CB9" w:rsidRDefault="002976ED" w:rsidP="00EB1CB9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Obračun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vanredne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premije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vrši</w:t>
      </w:r>
      <w:proofErr w:type="spellEnd"/>
      <w:r w:rsidR="00DB0FC3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</w:t>
      </w:r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u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skladu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sa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ovom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m</w:t>
      </w:r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etodologijom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odnosno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bazi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stepena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rizičnosti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pojedine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kreditne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institucije</w:t>
      </w:r>
      <w:proofErr w:type="spellEnd"/>
      <w:r w:rsidR="00EB1CB9" w:rsidRPr="005B7337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.   </w:t>
      </w:r>
    </w:p>
    <w:p w14:paraId="704213AD" w14:textId="283AFEF3" w:rsidR="001A35D3" w:rsidRDefault="001A35D3" w:rsidP="00EB1CB9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14:paraId="7A5380D2" w14:textId="77777777" w:rsidR="003001A8" w:rsidRPr="005B7337" w:rsidRDefault="003001A8" w:rsidP="00EB1CB9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14:paraId="3A34355C" w14:textId="45EC9B83" w:rsidR="00725230" w:rsidRPr="005B7337" w:rsidRDefault="00797ECB" w:rsidP="00CD67DE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V. </w:t>
      </w:r>
      <w:r w:rsidR="00725230" w:rsidRPr="00CD67D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PRELAZNE</w:t>
      </w:r>
      <w:r w:rsidR="00E42AA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I ZAVRŠNE</w:t>
      </w:r>
      <w:r w:rsidR="00725230" w:rsidRPr="005B7337">
        <w:rPr>
          <w:rFonts w:ascii="Arial" w:eastAsia="Times New Roman" w:hAnsi="Arial" w:cs="Arial"/>
          <w:b/>
          <w:sz w:val="24"/>
          <w:szCs w:val="24"/>
        </w:rPr>
        <w:t xml:space="preserve"> O</w:t>
      </w:r>
      <w:r w:rsidR="00370CD0">
        <w:rPr>
          <w:rFonts w:ascii="Arial" w:eastAsia="Times New Roman" w:hAnsi="Arial" w:cs="Arial"/>
          <w:b/>
          <w:sz w:val="24"/>
          <w:szCs w:val="24"/>
        </w:rPr>
        <w:t>D</w:t>
      </w:r>
      <w:r w:rsidR="00725230" w:rsidRPr="005B7337">
        <w:rPr>
          <w:rFonts w:ascii="Arial" w:eastAsia="Times New Roman" w:hAnsi="Arial" w:cs="Arial"/>
          <w:b/>
          <w:sz w:val="24"/>
          <w:szCs w:val="24"/>
        </w:rPr>
        <w:t>REDBE</w:t>
      </w:r>
    </w:p>
    <w:p w14:paraId="2DD5F563" w14:textId="5CE138B4" w:rsidR="00725230" w:rsidRPr="005B7337" w:rsidRDefault="00725230" w:rsidP="0067787E">
      <w:pPr>
        <w:shd w:val="clear" w:color="auto" w:fill="FFFFFF"/>
        <w:spacing w:after="0" w:line="360" w:lineRule="atLeast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1</w:t>
      </w:r>
      <w:r w:rsidR="000D037C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8</w:t>
      </w:r>
    </w:p>
    <w:p w14:paraId="7DE9E7F3" w14:textId="44D253C2" w:rsidR="0067787E" w:rsidRDefault="00725230" w:rsidP="0067787E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Centralna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banka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će</w:t>
      </w:r>
      <w:proofErr w:type="spellEnd"/>
      <w:r w:rsid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dostaviti</w:t>
      </w:r>
      <w:proofErr w:type="spellEnd"/>
      <w:r w:rsid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Fondu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podatke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izračunavanje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stepena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rizičnosti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pojedine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kreditne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institucije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obračun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prv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371E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97EC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druge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rate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redovne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premije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2021.</w:t>
      </w:r>
      <w:r w:rsidR="00791C65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bazi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dostavljenih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revidovanih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izvještaja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poslovnu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710751">
        <w:rPr>
          <w:rFonts w:ascii="Arial" w:eastAsiaTheme="minorEastAsia" w:hAnsi="Arial" w:cs="Arial"/>
          <w:sz w:val="24"/>
          <w:szCs w:val="24"/>
          <w:lang w:eastAsia="en-GB"/>
        </w:rPr>
        <w:t>2019.</w:t>
      </w:r>
      <w:r w:rsidR="00BD0909" w:rsidRPr="007107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DB0FC3">
        <w:rPr>
          <w:rFonts w:ascii="Arial" w:eastAsiaTheme="minorEastAsia" w:hAnsi="Arial" w:cs="Arial"/>
          <w:sz w:val="24"/>
          <w:szCs w:val="24"/>
          <w:lang w:eastAsia="en-GB"/>
        </w:rPr>
        <w:t>g</w:t>
      </w:r>
      <w:r w:rsidRPr="00710751">
        <w:rPr>
          <w:rFonts w:ascii="Arial" w:eastAsiaTheme="minorEastAsia" w:hAnsi="Arial" w:cs="Arial"/>
          <w:sz w:val="24"/>
          <w:szCs w:val="24"/>
          <w:lang w:eastAsia="en-GB"/>
        </w:rPr>
        <w:t>odinu</w:t>
      </w:r>
      <w:proofErr w:type="spellEnd"/>
      <w:r w:rsidR="00DB0FC3"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Pr="007107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najkasnije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do </w:t>
      </w:r>
      <w:r w:rsidR="00AF1F39"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15</w:t>
      </w:r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C63850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januara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2021.</w:t>
      </w:r>
      <w:r w:rsid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3334A9DF" w14:textId="77777777" w:rsidR="0067787E" w:rsidRPr="005B7337" w:rsidRDefault="0067787E" w:rsidP="0067787E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286BA423" w14:textId="77777777" w:rsidR="003001A8" w:rsidRDefault="003001A8" w:rsidP="00BD7AA0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</w:p>
    <w:p w14:paraId="2FA3435B" w14:textId="77777777" w:rsidR="003001A8" w:rsidRDefault="003001A8" w:rsidP="00BD7AA0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</w:p>
    <w:p w14:paraId="0EA2514D" w14:textId="4484A463" w:rsidR="00AF1F39" w:rsidRPr="005B7337" w:rsidRDefault="00AF1F39" w:rsidP="00BD7AA0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lastRenderedPageBreak/>
        <w:t>Stupanje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na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snagu</w:t>
      </w:r>
      <w:proofErr w:type="spellEnd"/>
    </w:p>
    <w:p w14:paraId="0415BF5B" w14:textId="0CC6E2EE" w:rsidR="00AF1F39" w:rsidRPr="005B7337" w:rsidRDefault="00AF1F39" w:rsidP="00BD7AA0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Član</w:t>
      </w:r>
      <w:proofErr w:type="spellEnd"/>
      <w:r w:rsidRPr="005B733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1</w:t>
      </w:r>
      <w:r w:rsidR="008E678C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9</w:t>
      </w:r>
    </w:p>
    <w:p w14:paraId="0DF6A48C" w14:textId="54CF03BF" w:rsidR="00AF1F39" w:rsidRPr="005B7337" w:rsidRDefault="00AF1F39" w:rsidP="00C04D67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Ova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metodologija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stupa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snagu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danom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objavljivanja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 "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Službenom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listu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Crne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Gore"</w:t>
      </w:r>
      <w:r w:rsidR="00C6730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,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="00C6730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a </w:t>
      </w:r>
      <w:proofErr w:type="spellStart"/>
      <w:r w:rsidR="00C6730D"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primje</w:t>
      </w:r>
      <w:r w:rsidR="00C6730D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njivaće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se od 1. </w:t>
      </w:r>
      <w:proofErr w:type="spellStart"/>
      <w:r w:rsidR="008E678C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j</w:t>
      </w:r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anuara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2021. </w:t>
      </w:r>
      <w:proofErr w:type="spellStart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5B733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.</w:t>
      </w:r>
    </w:p>
    <w:p w14:paraId="4D1F6446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6587BDA3" w14:textId="31D134C2" w:rsidR="003001A8" w:rsidRPr="00EC7CD7" w:rsidRDefault="003001A8" w:rsidP="003001A8">
      <w:pPr>
        <w:autoSpaceDE w:val="0"/>
        <w:autoSpaceDN w:val="0"/>
        <w:adjustRightInd w:val="0"/>
        <w:spacing w:before="60" w:after="60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Broj</w:t>
      </w:r>
      <w:proofErr w:type="spellEnd"/>
      <w:r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: 384/2</w:t>
      </w:r>
    </w:p>
    <w:p w14:paraId="2382F06E" w14:textId="705595A1" w:rsidR="003001A8" w:rsidRDefault="003001A8" w:rsidP="003001A8">
      <w:pPr>
        <w:autoSpaceDE w:val="0"/>
        <w:autoSpaceDN w:val="0"/>
        <w:adjustRightInd w:val="0"/>
        <w:spacing w:before="60" w:after="60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Podgorica, </w:t>
      </w:r>
      <w:r w:rsidR="00EC7CD7"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30</w:t>
      </w:r>
      <w:r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="00EC7CD7"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decembra</w:t>
      </w:r>
      <w:proofErr w:type="spellEnd"/>
      <w:r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2020. </w:t>
      </w:r>
      <w:proofErr w:type="spellStart"/>
      <w:r w:rsid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g</w:t>
      </w:r>
      <w:r w:rsidRPr="00EC7CD7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odine</w:t>
      </w:r>
      <w:proofErr w:type="spellEnd"/>
    </w:p>
    <w:p w14:paraId="35968239" w14:textId="77777777" w:rsidR="00EC7CD7" w:rsidRPr="00EC7CD7" w:rsidRDefault="00EC7CD7" w:rsidP="003001A8">
      <w:pPr>
        <w:autoSpaceDE w:val="0"/>
        <w:autoSpaceDN w:val="0"/>
        <w:adjustRightInd w:val="0"/>
        <w:spacing w:before="60" w:after="60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714E7A1C" w14:textId="23617599" w:rsidR="003001A8" w:rsidRPr="003001A8" w:rsidRDefault="003001A8" w:rsidP="003001A8">
      <w:pPr>
        <w:autoSpaceDE w:val="0"/>
        <w:autoSpaceDN w:val="0"/>
        <w:adjustRightInd w:val="0"/>
        <w:spacing w:before="60" w:after="60"/>
        <w:ind w:left="4320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         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        </w:t>
      </w:r>
      <w:proofErr w:type="spellStart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Upravni</w:t>
      </w:r>
      <w:proofErr w:type="spellEnd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odbor</w:t>
      </w:r>
      <w:proofErr w:type="spellEnd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Fonda za </w:t>
      </w:r>
      <w:proofErr w:type="spellStart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zaštitu</w:t>
      </w:r>
      <w:proofErr w:type="spellEnd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depozita</w:t>
      </w:r>
      <w:proofErr w:type="spellEnd"/>
    </w:p>
    <w:p w14:paraId="46B9E0B7" w14:textId="17CCF839" w:rsidR="003001A8" w:rsidRPr="003001A8" w:rsidRDefault="003001A8" w:rsidP="00A271FE">
      <w:pPr>
        <w:autoSpaceDE w:val="0"/>
        <w:autoSpaceDN w:val="0"/>
        <w:adjustRightInd w:val="0"/>
        <w:spacing w:before="60" w:after="60"/>
        <w:ind w:left="5760" w:firstLine="720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           </w:t>
      </w:r>
      <w:proofErr w:type="spellStart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Predsjednik</w:t>
      </w:r>
      <w:proofErr w:type="spellEnd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,</w:t>
      </w:r>
    </w:p>
    <w:p w14:paraId="63EE9C47" w14:textId="6C10585B" w:rsidR="003001A8" w:rsidRPr="003001A8" w:rsidRDefault="003001A8" w:rsidP="003001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</w:pP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ab/>
        <w:t xml:space="preserve">         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          </w:t>
      </w:r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Vesko </w:t>
      </w:r>
      <w:proofErr w:type="spellStart"/>
      <w:r w:rsidRPr="003001A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Lekić</w:t>
      </w:r>
      <w:proofErr w:type="spellEnd"/>
      <w:r w:rsidR="00A271F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A271F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n-GB"/>
        </w:rPr>
        <w:t>s.r.</w:t>
      </w:r>
      <w:proofErr w:type="spellEnd"/>
    </w:p>
    <w:p w14:paraId="3DE17FAA" w14:textId="77777777" w:rsidR="003001A8" w:rsidRPr="003001A8" w:rsidRDefault="003001A8" w:rsidP="003001A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32"/>
          <w:szCs w:val="32"/>
          <w:lang w:eastAsia="en-GB"/>
        </w:rPr>
      </w:pPr>
    </w:p>
    <w:p w14:paraId="7965866F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175ED658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559F6212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4642D827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6608DFF0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458F4089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080DCA3F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745C1978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0EE0C5F7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796D7D16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479F9255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37B790EF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657B0BBA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40A7C855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17364BE2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2C9E60E2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7B9EB77C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6904D469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696D8BC1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08D84F55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50351F51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7979D795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70873BBF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5BD7F131" w14:textId="77777777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4A4B7EF7" w14:textId="5FC70EEE" w:rsidR="003001A8" w:rsidRDefault="003001A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72949C65" w14:textId="17DBC89D" w:rsidR="00A271FE" w:rsidRDefault="00A271FE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65ABED4C" w14:textId="77777777" w:rsidR="00A271FE" w:rsidRDefault="00A271FE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56D692B0" w14:textId="77777777" w:rsidR="003001A8" w:rsidRDefault="003001A8" w:rsidP="00EC7CD7">
      <w:pPr>
        <w:shd w:val="clear" w:color="auto" w:fill="FFFFFF"/>
        <w:spacing w:after="0" w:line="360" w:lineRule="atLeast"/>
        <w:rPr>
          <w:rFonts w:ascii="Arial" w:eastAsiaTheme="minorEastAsia" w:hAnsi="Arial" w:cs="Arial"/>
          <w:b/>
          <w:bCs/>
          <w:i/>
          <w:iCs/>
          <w:sz w:val="32"/>
          <w:szCs w:val="32"/>
          <w:u w:val="single"/>
          <w:lang w:eastAsia="en-GB"/>
        </w:rPr>
      </w:pPr>
    </w:p>
    <w:p w14:paraId="7589966B" w14:textId="028F951C" w:rsidR="008524DB" w:rsidRPr="00A271FE" w:rsidRDefault="006555B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sz w:val="32"/>
          <w:szCs w:val="32"/>
          <w:lang w:eastAsia="en-GB"/>
        </w:rPr>
      </w:pPr>
      <w:proofErr w:type="spellStart"/>
      <w:r w:rsidRPr="00A271FE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lastRenderedPageBreak/>
        <w:t>Prilog</w:t>
      </w:r>
      <w:proofErr w:type="spellEnd"/>
      <w:r w:rsidRPr="00A271FE">
        <w:rPr>
          <w:rFonts w:ascii="Arial" w:eastAsiaTheme="minorEastAsia" w:hAnsi="Arial" w:cs="Arial"/>
          <w:b/>
          <w:bCs/>
          <w:sz w:val="32"/>
          <w:szCs w:val="32"/>
          <w:lang w:eastAsia="en-GB"/>
        </w:rPr>
        <w:t xml:space="preserve"> 1</w:t>
      </w:r>
    </w:p>
    <w:p w14:paraId="74E74161" w14:textId="77777777" w:rsidR="00BD0909" w:rsidRDefault="00BD0909" w:rsidP="009C3D03">
      <w:pPr>
        <w:shd w:val="clear" w:color="auto" w:fill="FFFFFF"/>
        <w:spacing w:after="0" w:line="360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</w:p>
    <w:p w14:paraId="49C84504" w14:textId="01C296C0" w:rsidR="009C3D03" w:rsidRPr="00ED0244" w:rsidRDefault="006555B8" w:rsidP="009C3D03">
      <w:pPr>
        <w:shd w:val="clear" w:color="auto" w:fill="FFFFFF"/>
        <w:spacing w:after="0" w:line="360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Utvrđivanje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donje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gornje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granice</w:t>
      </w:r>
      <w:proofErr w:type="spellEnd"/>
      <w:r w:rsidR="00370CD0" w:rsidRPr="00EF08B8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kada</w:t>
      </w:r>
      <w:proofErr w:type="spellEnd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regulativom</w:t>
      </w:r>
      <w:proofErr w:type="spellEnd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nije</w:t>
      </w:r>
      <w:proofErr w:type="spellEnd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</w:p>
    <w:p w14:paraId="478C0F1A" w14:textId="186984C3" w:rsidR="008524DB" w:rsidRPr="00ED0244" w:rsidRDefault="008524DB" w:rsidP="009C3D03">
      <w:pPr>
        <w:shd w:val="clear" w:color="auto" w:fill="FFFFFF"/>
        <w:spacing w:after="0" w:line="360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ustanovljena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donja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granica</w:t>
      </w:r>
      <w:proofErr w:type="spellEnd"/>
    </w:p>
    <w:p w14:paraId="6B2476F6" w14:textId="632C441E" w:rsidR="008524DB" w:rsidRPr="009C3D03" w:rsidRDefault="008524DB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  <w:lang w:eastAsia="en-GB"/>
        </w:rPr>
      </w:pPr>
    </w:p>
    <w:p w14:paraId="51A4D69A" w14:textId="38339C43" w:rsidR="006555B8" w:rsidRPr="009C3D03" w:rsidRDefault="008524DB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</w:pP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>Primjer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6555B8"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>za NPL:</w:t>
      </w:r>
    </w:p>
    <w:p w14:paraId="3BC9BBD2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</w:pPr>
    </w:p>
    <w:p w14:paraId="45373404" w14:textId="77777777" w:rsidR="006555B8" w:rsidRPr="000C0D42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Utvrđivanje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donje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granice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vrši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se po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formuli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</w:p>
    <w:p w14:paraId="71D3574A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3C8A9EB" w14:textId="6E8808F5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Dg = 20%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Pv</w:t>
      </w:r>
      <w:proofErr w:type="spellEnd"/>
      <w:r w:rsidR="004F6DA2"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</w:p>
    <w:p w14:paraId="542B75E9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225747CF" w14:textId="0D10068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Gdje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</w:t>
      </w:r>
      <w:r w:rsidR="000C0D42">
        <w:rPr>
          <w:rFonts w:ascii="Arial" w:eastAsiaTheme="minorEastAsia" w:hAnsi="Arial" w:cs="Arial"/>
          <w:sz w:val="24"/>
          <w:szCs w:val="24"/>
          <w:lang w:eastAsia="en-GB"/>
        </w:rPr>
        <w:t>: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Dg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donja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="000C0D42">
        <w:rPr>
          <w:rFonts w:ascii="Arial" w:eastAsiaTheme="minorEastAsia" w:hAnsi="Arial" w:cs="Arial"/>
          <w:sz w:val="24"/>
          <w:szCs w:val="24"/>
          <w:lang w:eastAsia="en-GB"/>
        </w:rPr>
        <w:t>;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Pv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nivou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C0D42">
        <w:rPr>
          <w:rFonts w:ascii="Arial" w:eastAsiaTheme="minorEastAsia" w:hAnsi="Arial" w:cs="Arial"/>
          <w:sz w:val="24"/>
          <w:szCs w:val="24"/>
          <w:lang w:eastAsia="en-GB"/>
        </w:rPr>
        <w:t>bankarskog</w:t>
      </w:r>
      <w:proofErr w:type="spellEnd"/>
      <w:r w:rsidR="000C0D4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C0D42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istema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096A93B7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8B179D8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NPL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kreditnim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institucijama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članicama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Fonda,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kraju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2019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godine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iznosi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4,72%. Ova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predstavlja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= 50.</w:t>
      </w:r>
    </w:p>
    <w:p w14:paraId="2B9C2D4F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1830160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Donju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određujemo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kao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20%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NPL = 0,944%. </w:t>
      </w:r>
      <w:bookmarkStart w:id="19" w:name="_Hlk59620880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Za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ovu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sve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ispod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donje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Start w:id="20" w:name="_Hlk59620036"/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End w:id="20"/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 = 0</w:t>
      </w:r>
      <w:bookmarkEnd w:id="19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39D872E7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FBCD625" w14:textId="7CCB87FB" w:rsidR="006555B8" w:rsidRPr="000C0D42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Utvrđivanje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0C0D42"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</w:t>
      </w:r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ornje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granice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vrši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se po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formuli</w:t>
      </w:r>
      <w:proofErr w:type="spellEnd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</w:p>
    <w:p w14:paraId="4A701532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8E9EB24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Gg=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Pv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+ 80%Pv</w:t>
      </w:r>
    </w:p>
    <w:p w14:paraId="50EEA4F6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6E3B45E2" w14:textId="08508B5E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Gdje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</w:t>
      </w:r>
      <w:r w:rsidR="000C0D42">
        <w:rPr>
          <w:rFonts w:ascii="Arial" w:eastAsiaTheme="minorEastAsia" w:hAnsi="Arial" w:cs="Arial"/>
          <w:sz w:val="24"/>
          <w:szCs w:val="24"/>
          <w:lang w:eastAsia="en-GB"/>
        </w:rPr>
        <w:t>: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Gg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gornja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;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Pv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nivou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C0D42">
        <w:rPr>
          <w:rFonts w:ascii="Arial" w:eastAsiaTheme="minorEastAsia" w:hAnsi="Arial" w:cs="Arial"/>
          <w:sz w:val="24"/>
          <w:szCs w:val="24"/>
          <w:lang w:eastAsia="en-GB"/>
        </w:rPr>
        <w:t>bankarskog</w:t>
      </w:r>
      <w:proofErr w:type="spellEnd"/>
      <w:r w:rsidR="000C0D4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C0D42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istema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72F4EB1B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8EC5C53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Gornju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određujemo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kao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+ 80%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= 8,516%. Za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ovu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sve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iznad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gornje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je= 100.</w:t>
      </w:r>
    </w:p>
    <w:p w14:paraId="5E9EBD2F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ACC9689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Svi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koji se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nađu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granicama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0,944 – 8,516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dobijaju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Start w:id="21" w:name="_Hlk59620971"/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odgovarajuću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- ponder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rasponu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</w:t>
      </w:r>
      <w:bookmarkEnd w:id="21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0-100.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Tako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dobijamo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65B7ACCE" w14:textId="7DE3805A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Da bi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utvrdili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bookmarkStart w:id="22" w:name="_Hlk59621100"/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zbirnu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ovog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dobijenu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množimo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pripadajućim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-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težinom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, 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definisana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učešćem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13% 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ukupnom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100% (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tabela</w:t>
      </w:r>
      <w:proofErr w:type="spellEnd"/>
      <w:r w:rsidR="004F6DA2"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F6DA2" w:rsidRPr="009C3D03">
        <w:rPr>
          <w:rFonts w:ascii="Arial" w:eastAsiaTheme="minorEastAsia" w:hAnsi="Arial" w:cs="Arial"/>
          <w:sz w:val="24"/>
          <w:szCs w:val="24"/>
          <w:lang w:eastAsia="en-GB"/>
        </w:rPr>
        <w:t>iz</w:t>
      </w:r>
      <w:proofErr w:type="spellEnd"/>
      <w:r w:rsidR="004F6DA2"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F6DA2" w:rsidRPr="009C3D03">
        <w:rPr>
          <w:rFonts w:ascii="Arial" w:eastAsiaTheme="minorEastAsia" w:hAnsi="Arial" w:cs="Arial"/>
          <w:sz w:val="24"/>
          <w:szCs w:val="24"/>
          <w:lang w:eastAsia="en-GB"/>
        </w:rPr>
        <w:t>člana</w:t>
      </w:r>
      <w:proofErr w:type="spellEnd"/>
      <w:r w:rsidR="004F6DA2"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6 </w:t>
      </w:r>
      <w:proofErr w:type="spellStart"/>
      <w:r w:rsidR="004F6DA2" w:rsidRPr="009C3D03">
        <w:rPr>
          <w:rFonts w:ascii="Arial" w:eastAsiaTheme="minorEastAsia" w:hAnsi="Arial" w:cs="Arial"/>
          <w:sz w:val="24"/>
          <w:szCs w:val="24"/>
          <w:lang w:eastAsia="en-GB"/>
        </w:rPr>
        <w:t>kolona</w:t>
      </w:r>
      <w:proofErr w:type="spellEnd"/>
      <w:r w:rsidR="004F6DA2"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2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>).</w:t>
      </w:r>
    </w:p>
    <w:bookmarkEnd w:id="22"/>
    <w:p w14:paraId="13656334" w14:textId="77777777" w:rsidR="000D3EE8" w:rsidRPr="009C3D03" w:rsidRDefault="000D3EE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26D4D07" w14:textId="7EE0320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Za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4,72%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njegova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 50, 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zbirna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(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njegovo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učešće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ukupnom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)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iznosi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50 x 13%= 6,50</w:t>
      </w:r>
      <w:r w:rsidR="001B2417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6DC74AC2" w14:textId="77777777" w:rsidR="000D3EE8" w:rsidRPr="009C3D03" w:rsidRDefault="000D3EE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630D87D" w14:textId="339B743E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Na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način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se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utvrđuju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zbirna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za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sve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ostale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kategorije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5AEE102C" w14:textId="3A5C6C8D" w:rsidR="006555B8" w:rsidRDefault="006555B8" w:rsidP="006555B8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09A13205" w14:textId="77777777" w:rsidR="009C3D03" w:rsidRDefault="009C3D03" w:rsidP="006555B8">
      <w:pPr>
        <w:shd w:val="clear" w:color="auto" w:fill="FFFFFF"/>
        <w:spacing w:after="200"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30193DFE" w14:textId="0E2530AA" w:rsidR="008524DB" w:rsidRPr="00A271FE" w:rsidRDefault="006555B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proofErr w:type="spellStart"/>
      <w:r w:rsidRPr="00A271FE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lastRenderedPageBreak/>
        <w:t>Prilog</w:t>
      </w:r>
      <w:proofErr w:type="spellEnd"/>
      <w:r w:rsidRPr="00A271FE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2</w:t>
      </w:r>
    </w:p>
    <w:p w14:paraId="35EE334A" w14:textId="77777777" w:rsidR="00CE18B5" w:rsidRPr="009C3D03" w:rsidRDefault="00CE18B5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sz w:val="32"/>
          <w:szCs w:val="32"/>
          <w:u w:val="single"/>
          <w:lang w:eastAsia="en-GB"/>
        </w:rPr>
      </w:pPr>
    </w:p>
    <w:p w14:paraId="34F802B0" w14:textId="77777777" w:rsidR="009C3D03" w:rsidRPr="00ED0244" w:rsidRDefault="000D3EE8" w:rsidP="009C3D03">
      <w:pPr>
        <w:shd w:val="clear" w:color="auto" w:fill="FFFFFF"/>
        <w:spacing w:after="0" w:line="360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Utvrđivanje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donje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gornje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granice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 </w:t>
      </w:r>
      <w:proofErr w:type="spellStart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kada</w:t>
      </w:r>
      <w:proofErr w:type="spellEnd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je </w:t>
      </w:r>
      <w:proofErr w:type="spellStart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regulativom</w:t>
      </w:r>
      <w:proofErr w:type="spellEnd"/>
      <w:r w:rsidR="008524DB"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</w:p>
    <w:p w14:paraId="1168A7F2" w14:textId="77D74470" w:rsidR="008524DB" w:rsidRPr="00ED0244" w:rsidRDefault="008524DB" w:rsidP="009C3D03">
      <w:pPr>
        <w:shd w:val="clear" w:color="auto" w:fill="FFFFFF"/>
        <w:spacing w:after="0" w:line="360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ustanovljena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donja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granica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pojedinačnog</w:t>
      </w:r>
      <w:proofErr w:type="spellEnd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ED0244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rizika</w:t>
      </w:r>
      <w:proofErr w:type="spellEnd"/>
    </w:p>
    <w:p w14:paraId="297295DC" w14:textId="77777777" w:rsidR="008524DB" w:rsidRPr="009C3D03" w:rsidRDefault="008524DB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</w:pPr>
    </w:p>
    <w:p w14:paraId="7F99E042" w14:textId="47678D49" w:rsidR="006555B8" w:rsidRPr="009C3D03" w:rsidRDefault="008524DB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>Primjer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0D3EE8"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 xml:space="preserve">za </w:t>
      </w:r>
      <w:proofErr w:type="spellStart"/>
      <w:r w:rsidR="000D3EE8"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>Solventnost</w:t>
      </w:r>
      <w:proofErr w:type="spellEnd"/>
      <w:r w:rsidR="000D3EE8" w:rsidRPr="009C3D03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>:</w:t>
      </w:r>
    </w:p>
    <w:p w14:paraId="06D5A7B2" w14:textId="77777777" w:rsidR="000D3EE8" w:rsidRPr="009C3D03" w:rsidRDefault="000D3EE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D3D5350" w14:textId="72B78E29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se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izračunavaju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osnovu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formule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:</w:t>
      </w:r>
    </w:p>
    <w:p w14:paraId="44B21055" w14:textId="6895E8F8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Donja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granica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</w:p>
    <w:p w14:paraId="7E2978C6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Dg= min </w:t>
      </w:r>
    </w:p>
    <w:p w14:paraId="180B335A" w14:textId="76842921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Gdje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</w:t>
      </w:r>
      <w:r w:rsidR="000C0D42">
        <w:rPr>
          <w:rFonts w:ascii="Arial" w:eastAsiaTheme="minorEastAsia" w:hAnsi="Arial" w:cs="Arial"/>
          <w:sz w:val="24"/>
          <w:szCs w:val="24"/>
          <w:lang w:eastAsia="en-GB"/>
        </w:rPr>
        <w:t>: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Dg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donja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, a </w:t>
      </w: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min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propisan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od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strane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CB CG</w:t>
      </w:r>
    </w:p>
    <w:p w14:paraId="00BDBB12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9AEDCC2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Urvrđivanje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gornje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granice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</w:p>
    <w:p w14:paraId="09BE5DEF" w14:textId="2BC4D868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Gd = 2 x </w:t>
      </w:r>
      <w:proofErr w:type="spellStart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Pv</w:t>
      </w:r>
      <w:proofErr w:type="spellEnd"/>
      <w:r w:rsidRPr="009C3D03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– min</w:t>
      </w:r>
    </w:p>
    <w:p w14:paraId="67265CBC" w14:textId="63EFF9D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Gdje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</w:t>
      </w:r>
      <w:r w:rsidR="000C0D42">
        <w:rPr>
          <w:rFonts w:ascii="Arial" w:eastAsiaTheme="minorEastAsia" w:hAnsi="Arial" w:cs="Arial"/>
          <w:sz w:val="24"/>
          <w:szCs w:val="24"/>
          <w:lang w:eastAsia="en-GB"/>
        </w:rPr>
        <w:t>: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Gd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gornja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; </w:t>
      </w:r>
      <w:proofErr w:type="spellStart"/>
      <w:r w:rsidRPr="000C0D4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Pv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nivou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C0D42">
        <w:rPr>
          <w:rFonts w:ascii="Arial" w:eastAsiaTheme="minorEastAsia" w:hAnsi="Arial" w:cs="Arial"/>
          <w:sz w:val="24"/>
          <w:szCs w:val="24"/>
          <w:lang w:eastAsia="en-GB"/>
        </w:rPr>
        <w:t>bankarskog</w:t>
      </w:r>
      <w:proofErr w:type="spellEnd"/>
      <w:r w:rsidR="000C0D4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C0D42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istema</w:t>
      </w:r>
      <w:proofErr w:type="spellEnd"/>
    </w:p>
    <w:p w14:paraId="45C08581" w14:textId="77777777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5CE88EC" w14:textId="1278A746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Prosječan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solventnosti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nivou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Sistema za 2019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godinu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iznosi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17,73%. Ova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predstavlja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= 50.</w:t>
      </w:r>
    </w:p>
    <w:p w14:paraId="55DD8887" w14:textId="77777777" w:rsidR="004F6DA2" w:rsidRPr="009C3D03" w:rsidRDefault="004F6DA2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F677E27" w14:textId="729B962F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Donja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utvrđena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propisom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CB CG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iznosi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10,00%. Za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ovu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sve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ispod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donje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 = 100.</w:t>
      </w:r>
    </w:p>
    <w:p w14:paraId="52CA1602" w14:textId="77777777" w:rsidR="004F6DA2" w:rsidRPr="009C3D03" w:rsidRDefault="004F6DA2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05F95C1" w14:textId="2ECB92C3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Gornja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= 2 x 17,73 – 10 = 35,46 – 10 = 25,46%. Za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ovu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sve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vrijednosti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ispod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donje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 = 0.</w:t>
      </w:r>
    </w:p>
    <w:p w14:paraId="0308B73A" w14:textId="77777777" w:rsidR="004F6DA2" w:rsidRPr="009C3D03" w:rsidRDefault="004F6DA2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E00E30F" w14:textId="2592CF35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Svi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koji se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nađu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granicama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10,00 – 25,46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dobijaju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odgovarajuću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rasponu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0-100.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Tako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dobijamo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ovog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77B4DAE9" w14:textId="77777777" w:rsidR="004F6DA2" w:rsidRPr="009C3D03" w:rsidRDefault="004F6DA2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3137709" w14:textId="68B87595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Da bi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utvrdili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zbirnu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ovog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dobijenu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množimo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sa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pripadajućim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koeficijentom</w:t>
      </w:r>
      <w:proofErr w:type="spellEnd"/>
      <w:r w:rsidR="000C0D4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-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težinom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definisana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učešćem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12%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ukupnom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100% (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tabela</w:t>
      </w:r>
      <w:proofErr w:type="spellEnd"/>
      <w:r w:rsid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9C3D03">
        <w:rPr>
          <w:rFonts w:ascii="Arial" w:eastAsiaTheme="minorEastAsia" w:hAnsi="Arial" w:cs="Arial"/>
          <w:sz w:val="24"/>
          <w:szCs w:val="24"/>
          <w:lang w:eastAsia="en-GB"/>
        </w:rPr>
        <w:t>iz</w:t>
      </w:r>
      <w:proofErr w:type="spellEnd"/>
      <w:r w:rsid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9C3D03">
        <w:rPr>
          <w:rFonts w:ascii="Arial" w:eastAsiaTheme="minorEastAsia" w:hAnsi="Arial" w:cs="Arial"/>
          <w:sz w:val="24"/>
          <w:szCs w:val="24"/>
          <w:lang w:eastAsia="en-GB"/>
        </w:rPr>
        <w:t>člana</w:t>
      </w:r>
      <w:proofErr w:type="spellEnd"/>
      <w:r w:rsid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6 </w:t>
      </w:r>
      <w:proofErr w:type="spellStart"/>
      <w:r w:rsidR="009C3D03">
        <w:rPr>
          <w:rFonts w:ascii="Arial" w:eastAsiaTheme="minorEastAsia" w:hAnsi="Arial" w:cs="Arial"/>
          <w:sz w:val="24"/>
          <w:szCs w:val="24"/>
          <w:lang w:eastAsia="en-GB"/>
        </w:rPr>
        <w:t>kolona</w:t>
      </w:r>
      <w:proofErr w:type="spellEnd"/>
      <w:r w:rsid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2</w:t>
      </w:r>
      <w:r w:rsidRPr="009C3D03">
        <w:rPr>
          <w:rFonts w:ascii="Arial" w:eastAsiaTheme="minorEastAsia" w:hAnsi="Arial" w:cs="Arial"/>
          <w:sz w:val="24"/>
          <w:szCs w:val="24"/>
          <w:lang w:eastAsia="en-GB"/>
        </w:rPr>
        <w:t>).</w:t>
      </w:r>
    </w:p>
    <w:p w14:paraId="407EA93E" w14:textId="77777777" w:rsidR="004F6DA2" w:rsidRPr="009C3D03" w:rsidRDefault="004F6DA2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CCA8424" w14:textId="472ABC84" w:rsidR="006555B8" w:rsidRPr="009C3D03" w:rsidRDefault="006555B8" w:rsidP="006555B8">
      <w:pPr>
        <w:shd w:val="clear" w:color="auto" w:fill="FFFFFF"/>
        <w:spacing w:after="0" w:line="360" w:lineRule="atLeast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Za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prosječni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koeficijent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od 17,73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njegova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pojedinačnog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pokazatelja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je 50, a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zbirna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ocjena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(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njegovo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učešće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u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ukupnom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riziku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) </w:t>
      </w:r>
      <w:proofErr w:type="spellStart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>iznosi</w:t>
      </w:r>
      <w:proofErr w:type="spellEnd"/>
      <w:r w:rsidRPr="009C3D03">
        <w:rPr>
          <w:rFonts w:ascii="Arial" w:eastAsiaTheme="minorEastAsia" w:hAnsi="Arial" w:cs="Arial"/>
          <w:sz w:val="24"/>
          <w:szCs w:val="24"/>
          <w:lang w:eastAsia="en-GB"/>
        </w:rPr>
        <w:t xml:space="preserve"> 50 x 12%= 6,00</w:t>
      </w:r>
      <w:r w:rsidR="001B2417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5746D11F" w14:textId="2BEBEDE4" w:rsidR="00FE1E43" w:rsidRDefault="00FE1E43" w:rsidP="00FD445C">
      <w:pPr>
        <w:shd w:val="clear" w:color="auto" w:fill="FFFFFF"/>
        <w:spacing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15121CEC" w14:textId="72EC3C15" w:rsidR="008524DB" w:rsidRDefault="008524DB" w:rsidP="00FD445C">
      <w:pPr>
        <w:shd w:val="clear" w:color="auto" w:fill="FFFFFF"/>
        <w:spacing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6BC9F43A" w14:textId="3DAB45FD" w:rsidR="008524DB" w:rsidRDefault="008524DB" w:rsidP="00FD445C">
      <w:pPr>
        <w:shd w:val="clear" w:color="auto" w:fill="FFFFFF"/>
        <w:spacing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6EA8CA8E" w14:textId="5C6FAD02" w:rsidR="008524DB" w:rsidRDefault="008524DB" w:rsidP="00FD445C">
      <w:pPr>
        <w:shd w:val="clear" w:color="auto" w:fill="FFFFFF"/>
        <w:spacing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34DDA90C" w14:textId="77777777" w:rsidR="008524DB" w:rsidRDefault="008524DB" w:rsidP="00FD445C">
      <w:pPr>
        <w:shd w:val="clear" w:color="auto" w:fill="FFFFFF"/>
        <w:spacing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592A4899" w14:textId="43C89F2F" w:rsidR="008524DB" w:rsidRPr="00A271FE" w:rsidRDefault="006555B8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proofErr w:type="spellStart"/>
      <w:r w:rsidRPr="00A271FE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lastRenderedPageBreak/>
        <w:t>Prilog</w:t>
      </w:r>
      <w:proofErr w:type="spellEnd"/>
      <w:r w:rsidRPr="00A271FE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3</w:t>
      </w:r>
    </w:p>
    <w:p w14:paraId="18EE6F01" w14:textId="77777777" w:rsidR="00CE18B5" w:rsidRPr="003C21DE" w:rsidRDefault="00CE18B5" w:rsidP="00BD0909">
      <w:pPr>
        <w:shd w:val="clear" w:color="auto" w:fill="FFFFFF"/>
        <w:spacing w:after="0" w:line="360" w:lineRule="atLeast"/>
        <w:jc w:val="right"/>
        <w:rPr>
          <w:rFonts w:ascii="Arial" w:eastAsiaTheme="minorEastAsia" w:hAnsi="Arial" w:cs="Arial"/>
          <w:b/>
          <w:bCs/>
          <w:sz w:val="32"/>
          <w:szCs w:val="32"/>
          <w:u w:val="single"/>
          <w:lang w:eastAsia="en-GB"/>
        </w:rPr>
      </w:pPr>
    </w:p>
    <w:p w14:paraId="7C057D0D" w14:textId="3EB64B35" w:rsidR="006555B8" w:rsidRPr="00CE18B5" w:rsidRDefault="008524DB" w:rsidP="003C21DE">
      <w:pPr>
        <w:shd w:val="clear" w:color="auto" w:fill="FFFFFF"/>
        <w:spacing w:after="200" w:line="360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proofErr w:type="spellStart"/>
      <w:r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U</w:t>
      </w:r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tvrđivanje</w:t>
      </w:r>
      <w:proofErr w:type="spellEnd"/>
      <w:r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zbirne</w:t>
      </w:r>
      <w:proofErr w:type="spellEnd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ocjene</w:t>
      </w:r>
      <w:proofErr w:type="spellEnd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rizika</w:t>
      </w:r>
      <w:proofErr w:type="spellEnd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 (</w:t>
      </w:r>
      <w:proofErr w:type="spellStart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primjer</w:t>
      </w:r>
      <w:proofErr w:type="spellEnd"/>
      <w:r w:rsidR="004F6DA2" w:rsidRPr="00CE18B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)</w:t>
      </w:r>
    </w:p>
    <w:tbl>
      <w:tblPr>
        <w:tblStyle w:val="GridTable5Dark-Accent21"/>
        <w:tblpPr w:leftFromText="180" w:rightFromText="180" w:vertAnchor="text" w:horzAnchor="margin" w:tblpY="392"/>
        <w:tblW w:w="9720" w:type="dxa"/>
        <w:tblBorders>
          <w:top w:val="thickThinLargeGap" w:sz="2" w:space="0" w:color="FFFFFF" w:themeColor="background1"/>
          <w:left w:val="thickThinLargeGap" w:sz="2" w:space="0" w:color="FFFFFF" w:themeColor="background1"/>
          <w:bottom w:val="thickThinLargeGap" w:sz="2" w:space="0" w:color="FFFFFF" w:themeColor="background1"/>
          <w:right w:val="thickThinLargeGap" w:sz="2" w:space="0" w:color="FFFFFF" w:themeColor="background1"/>
          <w:insideH w:val="thickThinLargeGap" w:sz="2" w:space="0" w:color="FFFFFF" w:themeColor="background1"/>
          <w:insideV w:val="thickThinLargeGap" w:sz="2" w:space="0" w:color="FFFFFF" w:themeColor="background1"/>
        </w:tblBorders>
        <w:tblLook w:val="0420" w:firstRow="1" w:lastRow="0" w:firstColumn="0" w:lastColumn="0" w:noHBand="0" w:noVBand="1"/>
      </w:tblPr>
      <w:tblGrid>
        <w:gridCol w:w="4248"/>
        <w:gridCol w:w="1559"/>
        <w:gridCol w:w="1559"/>
        <w:gridCol w:w="1276"/>
        <w:gridCol w:w="1078"/>
      </w:tblGrid>
      <w:tr w:rsidR="00131B63" w:rsidRPr="009027C8" w14:paraId="29F81B63" w14:textId="77777777" w:rsidTr="00CF4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4248" w:type="dxa"/>
            <w:shd w:val="clear" w:color="auto" w:fill="F7CAAC" w:themeFill="accent2" w:themeFillTint="66"/>
            <w:hideMark/>
          </w:tcPr>
          <w:p w14:paraId="7B7D903D" w14:textId="77777777" w:rsidR="009C3D03" w:rsidRDefault="009C3D03" w:rsidP="00131B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kern w:val="24"/>
                <w:sz w:val="20"/>
                <w:szCs w:val="20"/>
                <w:lang w:val="de-DE"/>
              </w:rPr>
            </w:pPr>
          </w:p>
          <w:p w14:paraId="19D5B3D6" w14:textId="289F1F39" w:rsidR="00131B63" w:rsidRPr="009C3D03" w:rsidRDefault="009C3D03" w:rsidP="00131B63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Kategorija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rizika</w:t>
            </w:r>
            <w:proofErr w:type="spellEnd"/>
          </w:p>
        </w:tc>
        <w:tc>
          <w:tcPr>
            <w:tcW w:w="1559" w:type="dxa"/>
            <w:shd w:val="clear" w:color="auto" w:fill="F7CAAC" w:themeFill="accent2" w:themeFillTint="66"/>
            <w:hideMark/>
          </w:tcPr>
          <w:p w14:paraId="3660DC8E" w14:textId="3BD9F866" w:rsidR="00131B63" w:rsidRPr="009C3D03" w:rsidRDefault="00805FCC" w:rsidP="00131B6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r w:rsid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Osnovni</w:t>
            </w:r>
            <w:proofErr w:type="spellEnd"/>
            <w:r w:rsid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pokazatelj</w:t>
            </w:r>
            <w:proofErr w:type="spellEnd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rizika</w:t>
            </w:r>
            <w:proofErr w:type="spellEnd"/>
          </w:p>
        </w:tc>
        <w:tc>
          <w:tcPr>
            <w:tcW w:w="1559" w:type="dxa"/>
            <w:shd w:val="clear" w:color="auto" w:fill="F7CAAC" w:themeFill="accent2" w:themeFillTint="66"/>
            <w:hideMark/>
          </w:tcPr>
          <w:p w14:paraId="3CF9F5D3" w14:textId="5618D1E0" w:rsidR="00131B63" w:rsidRPr="009C3D03" w:rsidRDefault="009C3D03" w:rsidP="00131B63">
            <w:pPr>
              <w:jc w:val="center"/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O</w:t>
            </w:r>
            <w:r w:rsidR="00805FCC"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cjena</w:t>
            </w:r>
            <w:proofErr w:type="spellEnd"/>
            <w:r w:rsidR="00805FCC"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31B63"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pokazatelj</w:t>
            </w:r>
            <w:r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a</w:t>
            </w:r>
            <w:proofErr w:type="spellEnd"/>
          </w:p>
          <w:p w14:paraId="5C586901" w14:textId="77777777" w:rsidR="00131B63" w:rsidRPr="009C3D03" w:rsidRDefault="00131B63" w:rsidP="00131B6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rizika</w:t>
            </w:r>
            <w:proofErr w:type="spellEnd"/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38B43221" w14:textId="77777777" w:rsidR="009C3D03" w:rsidRDefault="009C3D03" w:rsidP="00131B63">
            <w:pPr>
              <w:jc w:val="center"/>
              <w:rPr>
                <w:rFonts w:ascii="Arial" w:eastAsia="Times New Roman" w:hAnsi="Arial" w:cs="Arial"/>
                <w:b w:val="0"/>
                <w:bCs w:val="0"/>
                <w:kern w:val="24"/>
                <w:sz w:val="20"/>
                <w:szCs w:val="20"/>
                <w:lang w:val="de-DE"/>
              </w:rPr>
            </w:pPr>
          </w:p>
          <w:p w14:paraId="46C144E6" w14:textId="11385226" w:rsidR="00131B63" w:rsidRPr="009C3D03" w:rsidRDefault="00131B63" w:rsidP="00131B6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Koeficijent</w:t>
            </w:r>
            <w:proofErr w:type="spellEnd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rizika</w:t>
            </w:r>
            <w:proofErr w:type="spellEnd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78" w:type="dxa"/>
            <w:shd w:val="clear" w:color="auto" w:fill="F7CAAC" w:themeFill="accent2" w:themeFillTint="66"/>
            <w:hideMark/>
          </w:tcPr>
          <w:p w14:paraId="7F7CF6DB" w14:textId="73F3E9E9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Zbirna</w:t>
            </w:r>
            <w:proofErr w:type="spellEnd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ocjena</w:t>
            </w:r>
            <w:proofErr w:type="spellEnd"/>
          </w:p>
          <w:p w14:paraId="78171E73" w14:textId="5CA2A97A" w:rsidR="00131B63" w:rsidRPr="009C3D03" w:rsidRDefault="00805FCC" w:rsidP="003C21D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9C3D03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de-DE"/>
              </w:rPr>
              <w:t>rizika</w:t>
            </w:r>
            <w:proofErr w:type="spellEnd"/>
          </w:p>
        </w:tc>
      </w:tr>
      <w:tr w:rsidR="00131B63" w:rsidRPr="009027C8" w14:paraId="05557F13" w14:textId="77777777" w:rsidTr="00CF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4248" w:type="dxa"/>
            <w:hideMark/>
          </w:tcPr>
          <w:p w14:paraId="2E3F7750" w14:textId="4913ECF4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1.1. </w:t>
            </w:r>
            <w:proofErr w:type="spellStart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Koeficijent</w:t>
            </w:r>
            <w:proofErr w:type="spellEnd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zadu</w:t>
            </w:r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ž</w:t>
            </w:r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enosti</w:t>
            </w:r>
            <w:proofErr w:type="spellEnd"/>
          </w:p>
        </w:tc>
        <w:tc>
          <w:tcPr>
            <w:tcW w:w="1559" w:type="dxa"/>
            <w:shd w:val="clear" w:color="auto" w:fill="FDF0DB"/>
            <w:hideMark/>
          </w:tcPr>
          <w:p w14:paraId="53D10371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13,03 %</w:t>
            </w:r>
          </w:p>
        </w:tc>
        <w:tc>
          <w:tcPr>
            <w:tcW w:w="1559" w:type="dxa"/>
            <w:shd w:val="clear" w:color="auto" w:fill="FDF0DB"/>
            <w:hideMark/>
          </w:tcPr>
          <w:p w14:paraId="147DD58D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FDF0DB"/>
            <w:hideMark/>
          </w:tcPr>
          <w:p w14:paraId="3A765159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12.0 %</w:t>
            </w:r>
          </w:p>
        </w:tc>
        <w:tc>
          <w:tcPr>
            <w:tcW w:w="1078" w:type="dxa"/>
            <w:shd w:val="clear" w:color="auto" w:fill="FDF0DB"/>
            <w:hideMark/>
          </w:tcPr>
          <w:p w14:paraId="681B95FA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6,00</w:t>
            </w:r>
          </w:p>
        </w:tc>
      </w:tr>
      <w:tr w:rsidR="00CF4A00" w:rsidRPr="009027C8" w14:paraId="65D3CD65" w14:textId="77777777" w:rsidTr="00CF4A00">
        <w:trPr>
          <w:trHeight w:val="18"/>
        </w:trPr>
        <w:tc>
          <w:tcPr>
            <w:tcW w:w="4248" w:type="dxa"/>
            <w:shd w:val="clear" w:color="auto" w:fill="E7E6E6" w:themeFill="background2"/>
            <w:hideMark/>
          </w:tcPr>
          <w:p w14:paraId="3BF8BAEB" w14:textId="1C7619AB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1.2. </w:t>
            </w:r>
            <w:proofErr w:type="spellStart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Koeficijent</w:t>
            </w:r>
            <w:proofErr w:type="spellEnd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solventnosti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14:paraId="502799FE" w14:textId="273AF1EB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17.73 %</w:t>
            </w:r>
          </w:p>
        </w:tc>
        <w:tc>
          <w:tcPr>
            <w:tcW w:w="1559" w:type="dxa"/>
            <w:shd w:val="clear" w:color="auto" w:fill="E7E6E6" w:themeFill="background2"/>
          </w:tcPr>
          <w:p w14:paraId="1A4B9033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5FE7AFB8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12.0 %</w:t>
            </w:r>
          </w:p>
        </w:tc>
        <w:tc>
          <w:tcPr>
            <w:tcW w:w="1078" w:type="dxa"/>
            <w:shd w:val="clear" w:color="auto" w:fill="E7E6E6" w:themeFill="background2"/>
            <w:hideMark/>
          </w:tcPr>
          <w:p w14:paraId="564D12B7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6,00</w:t>
            </w:r>
          </w:p>
        </w:tc>
      </w:tr>
      <w:tr w:rsidR="00131B63" w:rsidRPr="009027C8" w14:paraId="0935BA3C" w14:textId="77777777" w:rsidTr="00CF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4248" w:type="dxa"/>
            <w:hideMark/>
          </w:tcPr>
          <w:p w14:paraId="097B9082" w14:textId="4D8EF296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2.1. </w:t>
            </w:r>
            <w:proofErr w:type="spellStart"/>
            <w:r w:rsidR="003C21DE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O</w:t>
            </w:r>
            <w:r w:rsidR="001B2417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d</w:t>
            </w:r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nos</w:t>
            </w:r>
            <w:proofErr w:type="spellEnd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7B4BD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likvidnosti</w:t>
            </w:r>
            <w:proofErr w:type="spellEnd"/>
          </w:p>
        </w:tc>
        <w:tc>
          <w:tcPr>
            <w:tcW w:w="1559" w:type="dxa"/>
            <w:shd w:val="clear" w:color="auto" w:fill="FDF0DB"/>
            <w:hideMark/>
          </w:tcPr>
          <w:p w14:paraId="64638585" w14:textId="1B5F7F58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20,79 %</w:t>
            </w:r>
          </w:p>
        </w:tc>
        <w:tc>
          <w:tcPr>
            <w:tcW w:w="1559" w:type="dxa"/>
            <w:shd w:val="clear" w:color="auto" w:fill="FDF0DB"/>
          </w:tcPr>
          <w:p w14:paraId="5906254B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FDF0DB"/>
            <w:hideMark/>
          </w:tcPr>
          <w:p w14:paraId="5BD19040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12,0 %</w:t>
            </w:r>
          </w:p>
        </w:tc>
        <w:tc>
          <w:tcPr>
            <w:tcW w:w="1078" w:type="dxa"/>
            <w:shd w:val="clear" w:color="auto" w:fill="FDF0DB"/>
            <w:hideMark/>
          </w:tcPr>
          <w:p w14:paraId="1197D792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6,00</w:t>
            </w:r>
          </w:p>
        </w:tc>
      </w:tr>
      <w:tr w:rsidR="00CF4A00" w:rsidRPr="009027C8" w14:paraId="50D7C239" w14:textId="77777777" w:rsidTr="00CF4A00">
        <w:trPr>
          <w:trHeight w:val="18"/>
        </w:trPr>
        <w:tc>
          <w:tcPr>
            <w:tcW w:w="4248" w:type="dxa"/>
            <w:shd w:val="clear" w:color="auto" w:fill="E7E6E6" w:themeFill="background2"/>
            <w:hideMark/>
          </w:tcPr>
          <w:p w14:paraId="6D363A21" w14:textId="5CBDD725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2.2.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Prosjek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dekadne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likvidnosti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za XII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14:paraId="5460F5E1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1,31 %</w:t>
            </w:r>
          </w:p>
        </w:tc>
        <w:tc>
          <w:tcPr>
            <w:tcW w:w="1559" w:type="dxa"/>
            <w:shd w:val="clear" w:color="auto" w:fill="E7E6E6" w:themeFill="background2"/>
          </w:tcPr>
          <w:p w14:paraId="26C5962D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051F033C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12,0 %</w:t>
            </w:r>
          </w:p>
        </w:tc>
        <w:tc>
          <w:tcPr>
            <w:tcW w:w="1078" w:type="dxa"/>
            <w:shd w:val="clear" w:color="auto" w:fill="E7E6E6" w:themeFill="background2"/>
            <w:hideMark/>
          </w:tcPr>
          <w:p w14:paraId="11CBC1D5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6,00</w:t>
            </w:r>
          </w:p>
        </w:tc>
      </w:tr>
      <w:tr w:rsidR="00131B63" w:rsidRPr="009027C8" w14:paraId="090088C6" w14:textId="77777777" w:rsidTr="00CF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248" w:type="dxa"/>
            <w:hideMark/>
          </w:tcPr>
          <w:p w14:paraId="0042E73E" w14:textId="2AAA4368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3.1.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Koeficijent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ne</w:t>
            </w:r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kvalitetnih</w:t>
            </w:r>
            <w:proofErr w:type="spellEnd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kredita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(</w:t>
            </w: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NPL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DF0DB"/>
            <w:hideMark/>
          </w:tcPr>
          <w:p w14:paraId="21ADE388" w14:textId="39A50492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4,72 %</w:t>
            </w:r>
          </w:p>
        </w:tc>
        <w:tc>
          <w:tcPr>
            <w:tcW w:w="1559" w:type="dxa"/>
            <w:shd w:val="clear" w:color="auto" w:fill="FDF0DB"/>
          </w:tcPr>
          <w:p w14:paraId="26FEA01E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FDF0DB"/>
            <w:hideMark/>
          </w:tcPr>
          <w:p w14:paraId="11515A3F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13,0 %</w:t>
            </w:r>
          </w:p>
        </w:tc>
        <w:tc>
          <w:tcPr>
            <w:tcW w:w="1078" w:type="dxa"/>
            <w:shd w:val="clear" w:color="auto" w:fill="FDF0DB"/>
            <w:hideMark/>
          </w:tcPr>
          <w:p w14:paraId="78FFD0F7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6,15</w:t>
            </w:r>
          </w:p>
        </w:tc>
      </w:tr>
      <w:tr w:rsidR="00CF4A00" w:rsidRPr="009027C8" w14:paraId="488FF9CA" w14:textId="77777777" w:rsidTr="00CF4A00">
        <w:trPr>
          <w:trHeight w:val="18"/>
        </w:trPr>
        <w:tc>
          <w:tcPr>
            <w:tcW w:w="4248" w:type="dxa"/>
            <w:shd w:val="clear" w:color="auto" w:fill="E7E6E6" w:themeFill="background2"/>
            <w:hideMark/>
          </w:tcPr>
          <w:p w14:paraId="748BBCEA" w14:textId="42F2EBD1" w:rsidR="00131B63" w:rsidRPr="009C3D03" w:rsidRDefault="00131B63" w:rsidP="00CF4A00">
            <w:pPr>
              <w:spacing w:line="360" w:lineRule="auto"/>
              <w:ind w:left="447" w:hanging="447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3.2.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P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okrivenosti</w:t>
            </w:r>
            <w:proofErr w:type="spellEnd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nekvalitetnih</w:t>
            </w:r>
            <w:proofErr w:type="spellEnd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kredita</w:t>
            </w:r>
            <w:proofErr w:type="spellEnd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ukupnim</w:t>
            </w:r>
            <w:proofErr w:type="spellEnd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i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spravkama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vrijednosti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14:paraId="20C5949C" w14:textId="77777777" w:rsidR="00CF4A00" w:rsidRDefault="00CF4A00" w:rsidP="003C21DE">
            <w:pPr>
              <w:jc w:val="center"/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</w:pPr>
          </w:p>
          <w:p w14:paraId="2FDB448F" w14:textId="3889FD42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82,47 %</w:t>
            </w:r>
          </w:p>
        </w:tc>
        <w:tc>
          <w:tcPr>
            <w:tcW w:w="1559" w:type="dxa"/>
            <w:shd w:val="clear" w:color="auto" w:fill="E7E6E6" w:themeFill="background2"/>
          </w:tcPr>
          <w:p w14:paraId="5B45508A" w14:textId="77777777" w:rsidR="00CF4A00" w:rsidRDefault="00CF4A00" w:rsidP="003C21DE">
            <w:pPr>
              <w:ind w:left="720"/>
              <w:jc w:val="center"/>
              <w:textAlignment w:val="center"/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</w:pPr>
          </w:p>
          <w:p w14:paraId="09E1FCFE" w14:textId="56E2F106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77C327A8" w14:textId="77777777" w:rsidR="00CF4A00" w:rsidRDefault="00CF4A00" w:rsidP="003C21DE">
            <w:pPr>
              <w:jc w:val="center"/>
              <w:textAlignment w:val="center"/>
              <w:rPr>
                <w:rFonts w:eastAsia="Times New Roman" w:hAnsi="Arial" w:cs="Arial"/>
                <w:kern w:val="24"/>
                <w:sz w:val="20"/>
                <w:szCs w:val="20"/>
              </w:rPr>
            </w:pPr>
          </w:p>
          <w:p w14:paraId="3DB343FC" w14:textId="0D2FA46A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9,0 %</w:t>
            </w:r>
          </w:p>
        </w:tc>
        <w:tc>
          <w:tcPr>
            <w:tcW w:w="1078" w:type="dxa"/>
            <w:shd w:val="clear" w:color="auto" w:fill="E7E6E6" w:themeFill="background2"/>
            <w:hideMark/>
          </w:tcPr>
          <w:p w14:paraId="588CBD32" w14:textId="77777777" w:rsidR="00CF4A00" w:rsidRDefault="00CF4A00" w:rsidP="003C21DE">
            <w:pPr>
              <w:jc w:val="center"/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</w:pPr>
          </w:p>
          <w:p w14:paraId="2143FEBA" w14:textId="14D55E3B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4,50</w:t>
            </w:r>
          </w:p>
        </w:tc>
      </w:tr>
      <w:tr w:rsidR="00131B63" w:rsidRPr="009027C8" w14:paraId="7E2767CD" w14:textId="77777777" w:rsidTr="00CF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4248" w:type="dxa"/>
            <w:hideMark/>
          </w:tcPr>
          <w:p w14:paraId="566E9A84" w14:textId="7A9B4BD3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4.1.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Gustina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rizika</w:t>
            </w:r>
            <w:proofErr w:type="spellEnd"/>
            <w:r w:rsidR="003C21DE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DF0DB"/>
            <w:hideMark/>
          </w:tcPr>
          <w:p w14:paraId="6C2A9583" w14:textId="32566F1E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43,06 %</w:t>
            </w:r>
          </w:p>
        </w:tc>
        <w:tc>
          <w:tcPr>
            <w:tcW w:w="1559" w:type="dxa"/>
            <w:shd w:val="clear" w:color="auto" w:fill="FDF0DB"/>
          </w:tcPr>
          <w:p w14:paraId="38B6C172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FDF0DB"/>
            <w:hideMark/>
          </w:tcPr>
          <w:p w14:paraId="5627F9D2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6,5 %</w:t>
            </w:r>
          </w:p>
        </w:tc>
        <w:tc>
          <w:tcPr>
            <w:tcW w:w="1078" w:type="dxa"/>
            <w:shd w:val="clear" w:color="auto" w:fill="FDF0DB"/>
            <w:hideMark/>
          </w:tcPr>
          <w:p w14:paraId="56A7CB19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3,25</w:t>
            </w:r>
          </w:p>
        </w:tc>
      </w:tr>
      <w:tr w:rsidR="00CF4A00" w:rsidRPr="009027C8" w14:paraId="09B4018F" w14:textId="77777777" w:rsidTr="00CF4A00">
        <w:trPr>
          <w:trHeight w:val="18"/>
        </w:trPr>
        <w:tc>
          <w:tcPr>
            <w:tcW w:w="4248" w:type="dxa"/>
            <w:shd w:val="clear" w:color="auto" w:fill="E7E6E6" w:themeFill="background2"/>
            <w:hideMark/>
          </w:tcPr>
          <w:p w14:paraId="48C62EFD" w14:textId="5E0143FA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4.2.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Povra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ć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aj</w:t>
            </w:r>
            <w:proofErr w:type="spellEnd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na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prosje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č</w:t>
            </w:r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n</w:t>
            </w:r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u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aktiv</w:t>
            </w:r>
            <w:r w:rsidR="00E8069B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14:paraId="76058223" w14:textId="38F196C2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1.15 %</w:t>
            </w:r>
          </w:p>
        </w:tc>
        <w:tc>
          <w:tcPr>
            <w:tcW w:w="1559" w:type="dxa"/>
            <w:shd w:val="clear" w:color="auto" w:fill="E7E6E6" w:themeFill="background2"/>
          </w:tcPr>
          <w:p w14:paraId="4C5E7DF0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60123887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6,5 %</w:t>
            </w:r>
          </w:p>
        </w:tc>
        <w:tc>
          <w:tcPr>
            <w:tcW w:w="1078" w:type="dxa"/>
            <w:shd w:val="clear" w:color="auto" w:fill="E7E6E6" w:themeFill="background2"/>
            <w:hideMark/>
          </w:tcPr>
          <w:p w14:paraId="360F72CD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3,25</w:t>
            </w:r>
          </w:p>
        </w:tc>
      </w:tr>
      <w:tr w:rsidR="00131B63" w:rsidRPr="009027C8" w14:paraId="58A436DE" w14:textId="77777777" w:rsidTr="00CF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4248" w:type="dxa"/>
            <w:hideMark/>
          </w:tcPr>
          <w:p w14:paraId="59AC91AE" w14:textId="4449BFFE" w:rsidR="00131B63" w:rsidRPr="009C3D03" w:rsidRDefault="00131B63" w:rsidP="00131B63">
            <w:pPr>
              <w:spacing w:line="360" w:lineRule="auto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5.1.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Potencijalni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>gubitak</w:t>
            </w:r>
            <w:proofErr w:type="spellEnd"/>
            <w:r w:rsidR="00805FCC" w:rsidRPr="009C3D03">
              <w:rPr>
                <w:rFonts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 za Fond</w:t>
            </w:r>
          </w:p>
        </w:tc>
        <w:tc>
          <w:tcPr>
            <w:tcW w:w="1559" w:type="dxa"/>
            <w:shd w:val="clear" w:color="auto" w:fill="FDF0DB"/>
            <w:hideMark/>
          </w:tcPr>
          <w:p w14:paraId="4C5DAC08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331.30 %</w:t>
            </w:r>
          </w:p>
        </w:tc>
        <w:tc>
          <w:tcPr>
            <w:tcW w:w="1559" w:type="dxa"/>
            <w:shd w:val="clear" w:color="auto" w:fill="FDF0DB"/>
          </w:tcPr>
          <w:p w14:paraId="409D975B" w14:textId="77777777" w:rsidR="00131B63" w:rsidRPr="009C3D03" w:rsidRDefault="00131B63" w:rsidP="003C21DE">
            <w:pPr>
              <w:ind w:left="72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Theme="minorEastAsia" w:hAnsi="Arial"/>
                <w:kern w:val="24"/>
                <w:sz w:val="20"/>
                <w:szCs w:val="20"/>
                <w:lang w:val="de-DE"/>
              </w:rPr>
              <w:t>50,00</w:t>
            </w:r>
          </w:p>
        </w:tc>
        <w:tc>
          <w:tcPr>
            <w:tcW w:w="1276" w:type="dxa"/>
            <w:shd w:val="clear" w:color="auto" w:fill="FDF0DB"/>
            <w:hideMark/>
          </w:tcPr>
          <w:p w14:paraId="78C45FD6" w14:textId="77777777" w:rsidR="00131B63" w:rsidRPr="009C3D03" w:rsidRDefault="00131B63" w:rsidP="003C21DE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</w:rPr>
              <w:t>17,0%</w:t>
            </w:r>
          </w:p>
        </w:tc>
        <w:tc>
          <w:tcPr>
            <w:tcW w:w="1078" w:type="dxa"/>
            <w:shd w:val="clear" w:color="auto" w:fill="FDF0DB"/>
            <w:hideMark/>
          </w:tcPr>
          <w:p w14:paraId="209D9685" w14:textId="77777777" w:rsidR="00131B63" w:rsidRPr="009C3D03" w:rsidRDefault="00131B63" w:rsidP="003C21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D03">
              <w:rPr>
                <w:rFonts w:eastAsia="Times New Roman" w:hAnsi="Arial" w:cs="Arial"/>
                <w:kern w:val="24"/>
                <w:sz w:val="20"/>
                <w:szCs w:val="20"/>
                <w:lang w:val="de-DE"/>
              </w:rPr>
              <w:t>8.50</w:t>
            </w:r>
          </w:p>
        </w:tc>
      </w:tr>
      <w:tr w:rsidR="00131B63" w:rsidRPr="009027C8" w14:paraId="7A59F104" w14:textId="77777777" w:rsidTr="00CF4A00">
        <w:trPr>
          <w:trHeight w:val="18"/>
        </w:trPr>
        <w:tc>
          <w:tcPr>
            <w:tcW w:w="8642" w:type="dxa"/>
            <w:gridSpan w:val="4"/>
            <w:shd w:val="clear" w:color="auto" w:fill="E7E6E6" w:themeFill="background2"/>
            <w:hideMark/>
          </w:tcPr>
          <w:p w14:paraId="2ED9D896" w14:textId="5C574B2A" w:rsidR="00131B63" w:rsidRPr="009027C8" w:rsidRDefault="00805FCC" w:rsidP="00131B63">
            <w:pPr>
              <w:spacing w:line="36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Koeficijent</w:t>
            </w:r>
            <w:proofErr w:type="spellEnd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zbirnog</w:t>
            </w:r>
            <w:proofErr w:type="spellEnd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rizika</w:t>
            </w:r>
            <w:proofErr w:type="spellEnd"/>
            <w:r w:rsidR="00131B63" w:rsidRPr="009027C8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shd w:val="clear" w:color="auto" w:fill="E7E6E6" w:themeFill="background2"/>
            <w:hideMark/>
          </w:tcPr>
          <w:p w14:paraId="7656C895" w14:textId="77777777" w:rsidR="00131B63" w:rsidRPr="009027C8" w:rsidRDefault="00131B63" w:rsidP="0013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27C8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50.00</w:t>
            </w:r>
          </w:p>
        </w:tc>
      </w:tr>
      <w:tr w:rsidR="00131B63" w:rsidRPr="009027C8" w14:paraId="0B202284" w14:textId="77777777" w:rsidTr="00CF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8642" w:type="dxa"/>
            <w:gridSpan w:val="4"/>
            <w:hideMark/>
          </w:tcPr>
          <w:p w14:paraId="67800E14" w14:textId="1BEB6692" w:rsidR="00131B63" w:rsidRPr="009027C8" w:rsidRDefault="00805FCC" w:rsidP="00131B63">
            <w:pPr>
              <w:spacing w:line="360" w:lineRule="auto"/>
              <w:jc w:val="right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Klasa</w:t>
            </w:r>
            <w:proofErr w:type="spellEnd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rizika</w:t>
            </w:r>
            <w:proofErr w:type="spellEnd"/>
            <w:r w:rsidR="00131B63" w:rsidRPr="009027C8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hideMark/>
          </w:tcPr>
          <w:p w14:paraId="36A8F733" w14:textId="77777777" w:rsidR="00131B63" w:rsidRPr="009027C8" w:rsidRDefault="00131B63" w:rsidP="00131B6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27C8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3</w:t>
            </w:r>
          </w:p>
        </w:tc>
      </w:tr>
    </w:tbl>
    <w:p w14:paraId="3D3953AF" w14:textId="690F99CF" w:rsidR="00FE1E43" w:rsidRDefault="003C21DE" w:rsidP="00FD445C">
      <w:pPr>
        <w:shd w:val="clear" w:color="auto" w:fill="FFFFFF"/>
        <w:spacing w:line="360" w:lineRule="atLeas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proofErr w:type="spellStart"/>
      <w:r w:rsidRPr="003C21DE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Polazna</w:t>
      </w:r>
      <w:proofErr w:type="spellEnd"/>
      <w:r w:rsidRPr="003C21DE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C21DE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pretpostavka</w:t>
      </w:r>
      <w:proofErr w:type="spellEnd"/>
      <w:r w:rsidRPr="003C21DE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Svi </w:t>
      </w:r>
      <w:proofErr w:type="spellStart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pokazatelji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rizika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su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prosječne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vrijednosti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na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nivou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="0052486A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s</w:t>
      </w:r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istema</w:t>
      </w:r>
      <w:proofErr w:type="spellEnd"/>
      <w:r w:rsidRPr="009C3D03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.</w:t>
      </w:r>
    </w:p>
    <w:p w14:paraId="3C2849CE" w14:textId="77777777" w:rsidR="0052486A" w:rsidRDefault="0052486A" w:rsidP="003C21D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F967C3C" w14:textId="643ABB17" w:rsidR="000D3EE8" w:rsidRPr="0052486A" w:rsidRDefault="003C21DE" w:rsidP="003C21D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52486A">
        <w:rPr>
          <w:rFonts w:ascii="Arial" w:hAnsi="Arial" w:cs="Arial"/>
          <w:i/>
          <w:iCs/>
          <w:sz w:val="24"/>
          <w:szCs w:val="24"/>
        </w:rPr>
        <w:t xml:space="preserve">Na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osnovu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zbirne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ocjene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rizika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koeficijent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zbirnog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rizika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za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navedenu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kreditnu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instituciju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je 50. Za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koeficijent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zbirnog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rizika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50, u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skladu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sa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članom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9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stav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3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Metodologije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kreditna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institucija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dobija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klasu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rizika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3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po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osnovu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rizičnosti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plaća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premiju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u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iznosu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od 100% (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prosječno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rizična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kreditna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486A">
        <w:rPr>
          <w:rFonts w:ascii="Arial" w:hAnsi="Arial" w:cs="Arial"/>
          <w:i/>
          <w:iCs/>
          <w:sz w:val="24"/>
          <w:szCs w:val="24"/>
        </w:rPr>
        <w:t>institucija</w:t>
      </w:r>
      <w:proofErr w:type="spellEnd"/>
      <w:r w:rsidRPr="0052486A">
        <w:rPr>
          <w:rFonts w:ascii="Arial" w:hAnsi="Arial" w:cs="Arial"/>
          <w:i/>
          <w:iCs/>
          <w:sz w:val="24"/>
          <w:szCs w:val="24"/>
        </w:rPr>
        <w:t>).</w:t>
      </w:r>
    </w:p>
    <w:p w14:paraId="2DF520C2" w14:textId="2FF687AC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BF991E" w14:textId="1461E041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4D49D" w14:textId="2731678C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5E1BE2" w14:textId="0E608585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EEFFAE" w14:textId="16D3912D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753274" w14:textId="241D7471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8E6E6" w14:textId="058EC2DA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5C8A3" w14:textId="347EEBD5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2A2353" w14:textId="5F99CB91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235E28" w14:textId="29DFEE43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C44FFE" w14:textId="1C3D79F9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D0FDB" w14:textId="41D652EC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380611" w14:textId="3E4DAE51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2521BB" w14:textId="3C8BE7A3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4236D9" w14:textId="2D3F0C7B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CEA8DE" w14:textId="54111967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087470" w14:textId="77777777" w:rsidR="00CF4A00" w:rsidRDefault="00CF4A00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F123CB" w14:textId="168C8B1E" w:rsidR="003C21DE" w:rsidRDefault="003C21DE" w:rsidP="00AF3E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FC4B9D" w14:textId="77777777" w:rsidR="00413218" w:rsidRDefault="00413218" w:rsidP="00CE18B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413218" w:rsidSect="000D1C90">
      <w:headerReference w:type="even" r:id="rId8"/>
      <w:footerReference w:type="even" r:id="rId9"/>
      <w:footerReference w:type="default" r:id="rId10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6BA0" w14:textId="77777777" w:rsidR="00FA055E" w:rsidRDefault="00FA055E" w:rsidP="009624B1">
      <w:pPr>
        <w:spacing w:after="0" w:line="240" w:lineRule="auto"/>
      </w:pPr>
      <w:r>
        <w:separator/>
      </w:r>
    </w:p>
  </w:endnote>
  <w:endnote w:type="continuationSeparator" w:id="0">
    <w:p w14:paraId="6900D15C" w14:textId="77777777" w:rsidR="00FA055E" w:rsidRDefault="00FA055E" w:rsidP="0096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2163F" w14:paraId="34635EA0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8F9C8FE" w14:textId="77777777" w:rsidR="0072163F" w:rsidRDefault="00FA055E">
          <w:pPr>
            <w:pStyle w:val="Fotter"/>
          </w:pPr>
          <w:hyperlink w:anchor="http___www_katalogpropisa_me" w:history="1">
            <w:proofErr w:type="spellStart"/>
            <w:r w:rsidR="0072163F">
              <w:rPr>
                <w:rStyle w:val="Hyperlink"/>
              </w:rPr>
              <w:t>Pravni</w:t>
            </w:r>
            <w:proofErr w:type="spellEnd"/>
            <w:r w:rsidR="0072163F">
              <w:rPr>
                <w:rStyle w:val="Hyperlink"/>
              </w:rPr>
              <w:t xml:space="preserve"> </w:t>
            </w:r>
            <w:proofErr w:type="spellStart"/>
            <w:r w:rsidR="0072163F">
              <w:rPr>
                <w:rStyle w:val="Hyperlink"/>
              </w:rPr>
              <w:t>ekspert</w:t>
            </w:r>
            <w:proofErr w:type="spellEnd"/>
            <w:r w:rsidR="0072163F">
              <w:rPr>
                <w:rStyle w:val="Hyperlink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1A07989" w14:textId="77777777" w:rsidR="0072163F" w:rsidRDefault="0072163F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72163F" w14:paraId="6A996CF1" w14:textId="77777777" w:rsidTr="008C2BD9">
      <w:trPr>
        <w:cantSplit/>
        <w:trHeight w:val="240"/>
      </w:trPr>
      <w:tc>
        <w:tcPr>
          <w:tcW w:w="10205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7CE261F" w14:textId="247A21BE" w:rsidR="0072163F" w:rsidRDefault="0072163F" w:rsidP="003A2532">
          <w:pPr>
            <w:pStyle w:val="Fotter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8457" w14:textId="77777777" w:rsidR="00FA055E" w:rsidRDefault="00FA055E" w:rsidP="009624B1">
      <w:pPr>
        <w:spacing w:after="0" w:line="240" w:lineRule="auto"/>
      </w:pPr>
      <w:r>
        <w:separator/>
      </w:r>
    </w:p>
  </w:footnote>
  <w:footnote w:type="continuationSeparator" w:id="0">
    <w:p w14:paraId="4F2F8CD6" w14:textId="77777777" w:rsidR="00FA055E" w:rsidRDefault="00FA055E" w:rsidP="009624B1">
      <w:pPr>
        <w:spacing w:after="0" w:line="240" w:lineRule="auto"/>
      </w:pPr>
      <w:r>
        <w:continuationSeparator/>
      </w:r>
    </w:p>
  </w:footnote>
  <w:footnote w:id="1">
    <w:p w14:paraId="13FFD2C2" w14:textId="3C216617" w:rsidR="0072163F" w:rsidRPr="00A7414D" w:rsidRDefault="0072163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Ovaj pokazatelj će biti zamijenjen nakon dostupnosti LCR pokazatelja, </w:t>
      </w:r>
    </w:p>
  </w:footnote>
  <w:footnote w:id="2">
    <w:p w14:paraId="6F628641" w14:textId="05FABA06" w:rsidR="0072163F" w:rsidRPr="00A7414D" w:rsidRDefault="0072163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Ovaj pokazatelj će biti zamijenjen nakon dostupnosti NSFR pokazatelja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46AC" w14:textId="77777777" w:rsidR="0072163F" w:rsidRDefault="0072163F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151"/>
    <w:multiLevelType w:val="hybridMultilevel"/>
    <w:tmpl w:val="95DA6706"/>
    <w:lvl w:ilvl="0" w:tplc="AA96B0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5D6"/>
    <w:multiLevelType w:val="hybridMultilevel"/>
    <w:tmpl w:val="A8E61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10A"/>
    <w:multiLevelType w:val="hybridMultilevel"/>
    <w:tmpl w:val="543628E2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229"/>
    <w:multiLevelType w:val="hybridMultilevel"/>
    <w:tmpl w:val="DE121B04"/>
    <w:lvl w:ilvl="0" w:tplc="F23EF47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D5D40"/>
    <w:multiLevelType w:val="multilevel"/>
    <w:tmpl w:val="5C024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0F31E8"/>
    <w:multiLevelType w:val="hybridMultilevel"/>
    <w:tmpl w:val="07A46498"/>
    <w:lvl w:ilvl="0" w:tplc="828A723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3EAA"/>
    <w:multiLevelType w:val="hybridMultilevel"/>
    <w:tmpl w:val="49F0D232"/>
    <w:lvl w:ilvl="0" w:tplc="1DF47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073EE"/>
    <w:multiLevelType w:val="hybridMultilevel"/>
    <w:tmpl w:val="8B688468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1A05"/>
    <w:multiLevelType w:val="hybridMultilevel"/>
    <w:tmpl w:val="B754A4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DEB"/>
    <w:multiLevelType w:val="hybridMultilevel"/>
    <w:tmpl w:val="414A2E5C"/>
    <w:lvl w:ilvl="0" w:tplc="08090017">
      <w:start w:val="1"/>
      <w:numFmt w:val="lowerLetter"/>
      <w:lvlText w:val="%1)"/>
      <w:lvlJc w:val="lef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E7643AE"/>
    <w:multiLevelType w:val="hybridMultilevel"/>
    <w:tmpl w:val="3E9C39F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FF6402"/>
    <w:multiLevelType w:val="multilevel"/>
    <w:tmpl w:val="7186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02741E0"/>
    <w:multiLevelType w:val="hybridMultilevel"/>
    <w:tmpl w:val="C90AF7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2E46"/>
    <w:multiLevelType w:val="hybridMultilevel"/>
    <w:tmpl w:val="B8F2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4FEE"/>
    <w:multiLevelType w:val="hybridMultilevel"/>
    <w:tmpl w:val="3B98B986"/>
    <w:lvl w:ilvl="0" w:tplc="271E27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E2D1B"/>
    <w:multiLevelType w:val="hybridMultilevel"/>
    <w:tmpl w:val="1360C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D58F8"/>
    <w:multiLevelType w:val="hybridMultilevel"/>
    <w:tmpl w:val="C6229E7E"/>
    <w:lvl w:ilvl="0" w:tplc="FBC436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F3393"/>
    <w:multiLevelType w:val="hybridMultilevel"/>
    <w:tmpl w:val="BBFA0CFE"/>
    <w:lvl w:ilvl="0" w:tplc="14FC66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2E3AC8"/>
    <w:multiLevelType w:val="hybridMultilevel"/>
    <w:tmpl w:val="2494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4FD9"/>
    <w:multiLevelType w:val="multilevel"/>
    <w:tmpl w:val="7186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A02313"/>
    <w:multiLevelType w:val="hybridMultilevel"/>
    <w:tmpl w:val="DCF4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BCD"/>
    <w:multiLevelType w:val="hybridMultilevel"/>
    <w:tmpl w:val="8FA07040"/>
    <w:lvl w:ilvl="0" w:tplc="AE3A80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E6A38"/>
    <w:multiLevelType w:val="hybridMultilevel"/>
    <w:tmpl w:val="11F09D10"/>
    <w:lvl w:ilvl="0" w:tplc="D7CE89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EE049D"/>
    <w:multiLevelType w:val="hybridMultilevel"/>
    <w:tmpl w:val="5E60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475CD"/>
    <w:multiLevelType w:val="hybridMultilevel"/>
    <w:tmpl w:val="0BE0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373FF"/>
    <w:multiLevelType w:val="hybridMultilevel"/>
    <w:tmpl w:val="1DA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7825"/>
    <w:multiLevelType w:val="hybridMultilevel"/>
    <w:tmpl w:val="0A82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A42"/>
    <w:multiLevelType w:val="hybridMultilevel"/>
    <w:tmpl w:val="A0DEF7FA"/>
    <w:lvl w:ilvl="0" w:tplc="08090017">
      <w:start w:val="1"/>
      <w:numFmt w:val="lowerLetter"/>
      <w:lvlText w:val="%1)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6956399"/>
    <w:multiLevelType w:val="hybridMultilevel"/>
    <w:tmpl w:val="50AC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521E"/>
    <w:multiLevelType w:val="hybridMultilevel"/>
    <w:tmpl w:val="1BD8B6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B65B5"/>
    <w:multiLevelType w:val="hybridMultilevel"/>
    <w:tmpl w:val="4832385C"/>
    <w:lvl w:ilvl="0" w:tplc="828A723C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CB7016"/>
    <w:multiLevelType w:val="hybridMultilevel"/>
    <w:tmpl w:val="84424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1771E"/>
    <w:multiLevelType w:val="hybridMultilevel"/>
    <w:tmpl w:val="3318A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D063D"/>
    <w:multiLevelType w:val="hybridMultilevel"/>
    <w:tmpl w:val="118682EC"/>
    <w:lvl w:ilvl="0" w:tplc="7842DB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93DF7"/>
    <w:multiLevelType w:val="multilevel"/>
    <w:tmpl w:val="77E03D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BCA47F7"/>
    <w:multiLevelType w:val="hybridMultilevel"/>
    <w:tmpl w:val="D80E52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025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22"/>
  </w:num>
  <w:num w:numId="7">
    <w:abstractNumId w:val="19"/>
  </w:num>
  <w:num w:numId="8">
    <w:abstractNumId w:val="11"/>
  </w:num>
  <w:num w:numId="9">
    <w:abstractNumId w:val="34"/>
  </w:num>
  <w:num w:numId="10">
    <w:abstractNumId w:val="27"/>
  </w:num>
  <w:num w:numId="11">
    <w:abstractNumId w:val="17"/>
  </w:num>
  <w:num w:numId="12">
    <w:abstractNumId w:val="36"/>
  </w:num>
  <w:num w:numId="13">
    <w:abstractNumId w:val="4"/>
  </w:num>
  <w:num w:numId="14">
    <w:abstractNumId w:val="15"/>
  </w:num>
  <w:num w:numId="15">
    <w:abstractNumId w:val="35"/>
  </w:num>
  <w:num w:numId="16">
    <w:abstractNumId w:val="32"/>
  </w:num>
  <w:num w:numId="17">
    <w:abstractNumId w:val="5"/>
  </w:num>
  <w:num w:numId="18">
    <w:abstractNumId w:val="30"/>
  </w:num>
  <w:num w:numId="19">
    <w:abstractNumId w:val="3"/>
  </w:num>
  <w:num w:numId="20">
    <w:abstractNumId w:val="29"/>
  </w:num>
  <w:num w:numId="21">
    <w:abstractNumId w:val="31"/>
  </w:num>
  <w:num w:numId="22">
    <w:abstractNumId w:val="28"/>
  </w:num>
  <w:num w:numId="23">
    <w:abstractNumId w:val="23"/>
  </w:num>
  <w:num w:numId="24">
    <w:abstractNumId w:val="8"/>
  </w:num>
  <w:num w:numId="25">
    <w:abstractNumId w:val="18"/>
  </w:num>
  <w:num w:numId="26">
    <w:abstractNumId w:val="26"/>
  </w:num>
  <w:num w:numId="27">
    <w:abstractNumId w:val="13"/>
  </w:num>
  <w:num w:numId="28">
    <w:abstractNumId w:val="24"/>
  </w:num>
  <w:num w:numId="29">
    <w:abstractNumId w:val="25"/>
  </w:num>
  <w:num w:numId="30">
    <w:abstractNumId w:val="21"/>
  </w:num>
  <w:num w:numId="31">
    <w:abstractNumId w:val="2"/>
  </w:num>
  <w:num w:numId="32">
    <w:abstractNumId w:val="1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3"/>
  </w:num>
  <w:num w:numId="36">
    <w:abstractNumId w:val="6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1"/>
    <w:rsid w:val="00001C6A"/>
    <w:rsid w:val="00002958"/>
    <w:rsid w:val="00002CA1"/>
    <w:rsid w:val="00003BE6"/>
    <w:rsid w:val="00011827"/>
    <w:rsid w:val="00034089"/>
    <w:rsid w:val="00036406"/>
    <w:rsid w:val="00043D44"/>
    <w:rsid w:val="000457BC"/>
    <w:rsid w:val="00047BC7"/>
    <w:rsid w:val="00053352"/>
    <w:rsid w:val="000542D9"/>
    <w:rsid w:val="00054C9E"/>
    <w:rsid w:val="00055BAD"/>
    <w:rsid w:val="0006311D"/>
    <w:rsid w:val="0006598C"/>
    <w:rsid w:val="00065F80"/>
    <w:rsid w:val="00093BD3"/>
    <w:rsid w:val="00097F02"/>
    <w:rsid w:val="000A234C"/>
    <w:rsid w:val="000A546F"/>
    <w:rsid w:val="000A7934"/>
    <w:rsid w:val="000B230E"/>
    <w:rsid w:val="000C0D42"/>
    <w:rsid w:val="000C33CE"/>
    <w:rsid w:val="000C41C8"/>
    <w:rsid w:val="000D037C"/>
    <w:rsid w:val="000D0986"/>
    <w:rsid w:val="000D1C90"/>
    <w:rsid w:val="000D2B41"/>
    <w:rsid w:val="000D3EE8"/>
    <w:rsid w:val="000D7123"/>
    <w:rsid w:val="000D79E0"/>
    <w:rsid w:val="000E4C26"/>
    <w:rsid w:val="000F18BE"/>
    <w:rsid w:val="000F2C95"/>
    <w:rsid w:val="000F7C4C"/>
    <w:rsid w:val="00100F7B"/>
    <w:rsid w:val="00104A31"/>
    <w:rsid w:val="00110A67"/>
    <w:rsid w:val="00120171"/>
    <w:rsid w:val="00131B63"/>
    <w:rsid w:val="00150F37"/>
    <w:rsid w:val="00186543"/>
    <w:rsid w:val="00190708"/>
    <w:rsid w:val="00191028"/>
    <w:rsid w:val="001918AD"/>
    <w:rsid w:val="00191DE4"/>
    <w:rsid w:val="001947D7"/>
    <w:rsid w:val="00197127"/>
    <w:rsid w:val="001A1F72"/>
    <w:rsid w:val="001A35D3"/>
    <w:rsid w:val="001B2417"/>
    <w:rsid w:val="001B56A2"/>
    <w:rsid w:val="001D288A"/>
    <w:rsid w:val="001D6766"/>
    <w:rsid w:val="001E23DC"/>
    <w:rsid w:val="001E254C"/>
    <w:rsid w:val="001F193E"/>
    <w:rsid w:val="001F3EA8"/>
    <w:rsid w:val="001F446E"/>
    <w:rsid w:val="001F539A"/>
    <w:rsid w:val="001F76EF"/>
    <w:rsid w:val="001F7E51"/>
    <w:rsid w:val="0020181C"/>
    <w:rsid w:val="00224595"/>
    <w:rsid w:val="00227B26"/>
    <w:rsid w:val="00236404"/>
    <w:rsid w:val="00237E3E"/>
    <w:rsid w:val="00242576"/>
    <w:rsid w:val="002651E2"/>
    <w:rsid w:val="002743E9"/>
    <w:rsid w:val="00280DDB"/>
    <w:rsid w:val="00284C60"/>
    <w:rsid w:val="00284EBA"/>
    <w:rsid w:val="00286383"/>
    <w:rsid w:val="00287E08"/>
    <w:rsid w:val="00290289"/>
    <w:rsid w:val="00290A06"/>
    <w:rsid w:val="00296F99"/>
    <w:rsid w:val="002976ED"/>
    <w:rsid w:val="002A2A32"/>
    <w:rsid w:val="002A3729"/>
    <w:rsid w:val="002A3FE5"/>
    <w:rsid w:val="002A625C"/>
    <w:rsid w:val="002B135A"/>
    <w:rsid w:val="002B1603"/>
    <w:rsid w:val="002B396C"/>
    <w:rsid w:val="002B63D4"/>
    <w:rsid w:val="002B6776"/>
    <w:rsid w:val="002B7CAB"/>
    <w:rsid w:val="002C1A31"/>
    <w:rsid w:val="002C38D7"/>
    <w:rsid w:val="002C4623"/>
    <w:rsid w:val="002C6577"/>
    <w:rsid w:val="002D0022"/>
    <w:rsid w:val="002D0DA5"/>
    <w:rsid w:val="002D421C"/>
    <w:rsid w:val="002D65A2"/>
    <w:rsid w:val="002E0D79"/>
    <w:rsid w:val="002F173F"/>
    <w:rsid w:val="002F61C3"/>
    <w:rsid w:val="002F7844"/>
    <w:rsid w:val="003001A8"/>
    <w:rsid w:val="00311085"/>
    <w:rsid w:val="00313740"/>
    <w:rsid w:val="00324759"/>
    <w:rsid w:val="00334D4F"/>
    <w:rsid w:val="00341ED8"/>
    <w:rsid w:val="003505BA"/>
    <w:rsid w:val="00351CD6"/>
    <w:rsid w:val="003526D7"/>
    <w:rsid w:val="00355BB2"/>
    <w:rsid w:val="00361C01"/>
    <w:rsid w:val="0036289F"/>
    <w:rsid w:val="0036592A"/>
    <w:rsid w:val="00366E36"/>
    <w:rsid w:val="00370CD0"/>
    <w:rsid w:val="00375CDD"/>
    <w:rsid w:val="00383677"/>
    <w:rsid w:val="00385791"/>
    <w:rsid w:val="00391782"/>
    <w:rsid w:val="00395BF9"/>
    <w:rsid w:val="00396972"/>
    <w:rsid w:val="003A2532"/>
    <w:rsid w:val="003A402D"/>
    <w:rsid w:val="003A614D"/>
    <w:rsid w:val="003B3C3D"/>
    <w:rsid w:val="003C21DE"/>
    <w:rsid w:val="003C4DA2"/>
    <w:rsid w:val="003C68E4"/>
    <w:rsid w:val="003D79AC"/>
    <w:rsid w:val="003E5127"/>
    <w:rsid w:val="003F1DB5"/>
    <w:rsid w:val="003F21E2"/>
    <w:rsid w:val="003F2244"/>
    <w:rsid w:val="00401B0C"/>
    <w:rsid w:val="00413218"/>
    <w:rsid w:val="004141FA"/>
    <w:rsid w:val="0041452F"/>
    <w:rsid w:val="0042220F"/>
    <w:rsid w:val="0043159E"/>
    <w:rsid w:val="004320C6"/>
    <w:rsid w:val="00432717"/>
    <w:rsid w:val="004345D1"/>
    <w:rsid w:val="004371ED"/>
    <w:rsid w:val="00443100"/>
    <w:rsid w:val="004435F7"/>
    <w:rsid w:val="004436EA"/>
    <w:rsid w:val="00445887"/>
    <w:rsid w:val="00446C6B"/>
    <w:rsid w:val="00452E11"/>
    <w:rsid w:val="0045580B"/>
    <w:rsid w:val="004647D8"/>
    <w:rsid w:val="00470710"/>
    <w:rsid w:val="00470CE5"/>
    <w:rsid w:val="00485CB5"/>
    <w:rsid w:val="00487B14"/>
    <w:rsid w:val="00492422"/>
    <w:rsid w:val="004A74BF"/>
    <w:rsid w:val="004B13D2"/>
    <w:rsid w:val="004B7DC8"/>
    <w:rsid w:val="004C3E61"/>
    <w:rsid w:val="004D3FCA"/>
    <w:rsid w:val="004E260C"/>
    <w:rsid w:val="004E6043"/>
    <w:rsid w:val="004F0ABB"/>
    <w:rsid w:val="004F1772"/>
    <w:rsid w:val="004F3EBA"/>
    <w:rsid w:val="004F6DA2"/>
    <w:rsid w:val="00500838"/>
    <w:rsid w:val="0050403C"/>
    <w:rsid w:val="00506C3F"/>
    <w:rsid w:val="00507921"/>
    <w:rsid w:val="0052007C"/>
    <w:rsid w:val="0052486A"/>
    <w:rsid w:val="0053333A"/>
    <w:rsid w:val="00536895"/>
    <w:rsid w:val="00554083"/>
    <w:rsid w:val="0055520C"/>
    <w:rsid w:val="005576DB"/>
    <w:rsid w:val="00562A79"/>
    <w:rsid w:val="0056339A"/>
    <w:rsid w:val="0056379A"/>
    <w:rsid w:val="0056609F"/>
    <w:rsid w:val="005706B9"/>
    <w:rsid w:val="00577A08"/>
    <w:rsid w:val="005821D3"/>
    <w:rsid w:val="005842F3"/>
    <w:rsid w:val="005850DC"/>
    <w:rsid w:val="005A4314"/>
    <w:rsid w:val="005B27EF"/>
    <w:rsid w:val="005B3401"/>
    <w:rsid w:val="005B4BF0"/>
    <w:rsid w:val="005B5B28"/>
    <w:rsid w:val="005B7337"/>
    <w:rsid w:val="005C2ABE"/>
    <w:rsid w:val="005C34EA"/>
    <w:rsid w:val="005C367E"/>
    <w:rsid w:val="005D0EBB"/>
    <w:rsid w:val="005D6BF9"/>
    <w:rsid w:val="005D7EA8"/>
    <w:rsid w:val="005E138A"/>
    <w:rsid w:val="005E2266"/>
    <w:rsid w:val="005E532F"/>
    <w:rsid w:val="005E7579"/>
    <w:rsid w:val="005F0576"/>
    <w:rsid w:val="005F7E21"/>
    <w:rsid w:val="00613DC0"/>
    <w:rsid w:val="00616A25"/>
    <w:rsid w:val="00624DAA"/>
    <w:rsid w:val="006275F8"/>
    <w:rsid w:val="00633135"/>
    <w:rsid w:val="00652B60"/>
    <w:rsid w:val="006555B8"/>
    <w:rsid w:val="00661AC5"/>
    <w:rsid w:val="00674987"/>
    <w:rsid w:val="00675A64"/>
    <w:rsid w:val="00675D2B"/>
    <w:rsid w:val="00676D29"/>
    <w:rsid w:val="0067787E"/>
    <w:rsid w:val="00693DA5"/>
    <w:rsid w:val="00696F15"/>
    <w:rsid w:val="006A3843"/>
    <w:rsid w:val="006A55EF"/>
    <w:rsid w:val="006A7986"/>
    <w:rsid w:val="006C4241"/>
    <w:rsid w:val="006C6590"/>
    <w:rsid w:val="006D0974"/>
    <w:rsid w:val="006D2204"/>
    <w:rsid w:val="006D368E"/>
    <w:rsid w:val="00710751"/>
    <w:rsid w:val="00711FED"/>
    <w:rsid w:val="00714889"/>
    <w:rsid w:val="00720ADD"/>
    <w:rsid w:val="0072163F"/>
    <w:rsid w:val="00722B8A"/>
    <w:rsid w:val="00724B50"/>
    <w:rsid w:val="00724E35"/>
    <w:rsid w:val="00725230"/>
    <w:rsid w:val="00734217"/>
    <w:rsid w:val="00736DDC"/>
    <w:rsid w:val="00740447"/>
    <w:rsid w:val="00757F6A"/>
    <w:rsid w:val="00760953"/>
    <w:rsid w:val="00762011"/>
    <w:rsid w:val="00772E01"/>
    <w:rsid w:val="00775E3B"/>
    <w:rsid w:val="00777B16"/>
    <w:rsid w:val="00786E9D"/>
    <w:rsid w:val="00787712"/>
    <w:rsid w:val="00791C65"/>
    <w:rsid w:val="007923E1"/>
    <w:rsid w:val="007950F7"/>
    <w:rsid w:val="00797ECB"/>
    <w:rsid w:val="007A08B2"/>
    <w:rsid w:val="007A5CCE"/>
    <w:rsid w:val="007B4BDC"/>
    <w:rsid w:val="007B67D8"/>
    <w:rsid w:val="007C5533"/>
    <w:rsid w:val="007D4A2D"/>
    <w:rsid w:val="007E6F7A"/>
    <w:rsid w:val="007F0079"/>
    <w:rsid w:val="007F0246"/>
    <w:rsid w:val="007F6432"/>
    <w:rsid w:val="007F718E"/>
    <w:rsid w:val="007F7331"/>
    <w:rsid w:val="00802D07"/>
    <w:rsid w:val="00805FCC"/>
    <w:rsid w:val="00813B15"/>
    <w:rsid w:val="00820AA5"/>
    <w:rsid w:val="00824BB7"/>
    <w:rsid w:val="0082743E"/>
    <w:rsid w:val="00834414"/>
    <w:rsid w:val="008524DB"/>
    <w:rsid w:val="008619D3"/>
    <w:rsid w:val="008661E4"/>
    <w:rsid w:val="00873884"/>
    <w:rsid w:val="0088051A"/>
    <w:rsid w:val="008809BB"/>
    <w:rsid w:val="00886BFA"/>
    <w:rsid w:val="008918CE"/>
    <w:rsid w:val="00895F4A"/>
    <w:rsid w:val="008A0F5E"/>
    <w:rsid w:val="008A7498"/>
    <w:rsid w:val="008A7EF7"/>
    <w:rsid w:val="008B5C10"/>
    <w:rsid w:val="008C2BD9"/>
    <w:rsid w:val="008D0429"/>
    <w:rsid w:val="008D189A"/>
    <w:rsid w:val="008E537A"/>
    <w:rsid w:val="008E678C"/>
    <w:rsid w:val="008E7F22"/>
    <w:rsid w:val="008F45DA"/>
    <w:rsid w:val="008F6397"/>
    <w:rsid w:val="009027C8"/>
    <w:rsid w:val="00903615"/>
    <w:rsid w:val="009129F4"/>
    <w:rsid w:val="00914C51"/>
    <w:rsid w:val="00916219"/>
    <w:rsid w:val="00920301"/>
    <w:rsid w:val="009207F3"/>
    <w:rsid w:val="009211AF"/>
    <w:rsid w:val="00924841"/>
    <w:rsid w:val="00927C31"/>
    <w:rsid w:val="00927EAE"/>
    <w:rsid w:val="00930DC9"/>
    <w:rsid w:val="00934AD6"/>
    <w:rsid w:val="0094156F"/>
    <w:rsid w:val="009422AA"/>
    <w:rsid w:val="00957110"/>
    <w:rsid w:val="009624B1"/>
    <w:rsid w:val="00974F7C"/>
    <w:rsid w:val="00996F75"/>
    <w:rsid w:val="00997E32"/>
    <w:rsid w:val="009A1102"/>
    <w:rsid w:val="009B065A"/>
    <w:rsid w:val="009B234D"/>
    <w:rsid w:val="009B4E71"/>
    <w:rsid w:val="009B4EFF"/>
    <w:rsid w:val="009C3D03"/>
    <w:rsid w:val="009C5369"/>
    <w:rsid w:val="009D354D"/>
    <w:rsid w:val="009E3240"/>
    <w:rsid w:val="009F6EB1"/>
    <w:rsid w:val="00A0490F"/>
    <w:rsid w:val="00A06502"/>
    <w:rsid w:val="00A1030C"/>
    <w:rsid w:val="00A1797A"/>
    <w:rsid w:val="00A24CB0"/>
    <w:rsid w:val="00A271FE"/>
    <w:rsid w:val="00A373B4"/>
    <w:rsid w:val="00A416C2"/>
    <w:rsid w:val="00A66FED"/>
    <w:rsid w:val="00A727B0"/>
    <w:rsid w:val="00A73DBE"/>
    <w:rsid w:val="00A7414D"/>
    <w:rsid w:val="00A75356"/>
    <w:rsid w:val="00A81F96"/>
    <w:rsid w:val="00A847D9"/>
    <w:rsid w:val="00A867F6"/>
    <w:rsid w:val="00A92D96"/>
    <w:rsid w:val="00A94249"/>
    <w:rsid w:val="00A968F8"/>
    <w:rsid w:val="00AA0A49"/>
    <w:rsid w:val="00AA402B"/>
    <w:rsid w:val="00AA4C4F"/>
    <w:rsid w:val="00AB0238"/>
    <w:rsid w:val="00AB690E"/>
    <w:rsid w:val="00AC36E3"/>
    <w:rsid w:val="00AC4B62"/>
    <w:rsid w:val="00AC7E69"/>
    <w:rsid w:val="00AD0FFA"/>
    <w:rsid w:val="00AD57C6"/>
    <w:rsid w:val="00AD6C05"/>
    <w:rsid w:val="00AD74E3"/>
    <w:rsid w:val="00AE67EE"/>
    <w:rsid w:val="00AF1F39"/>
    <w:rsid w:val="00AF32B0"/>
    <w:rsid w:val="00AF3375"/>
    <w:rsid w:val="00AF3E1B"/>
    <w:rsid w:val="00B000C7"/>
    <w:rsid w:val="00B04543"/>
    <w:rsid w:val="00B06291"/>
    <w:rsid w:val="00B123A0"/>
    <w:rsid w:val="00B137B9"/>
    <w:rsid w:val="00B23C9C"/>
    <w:rsid w:val="00B25F5F"/>
    <w:rsid w:val="00B3305C"/>
    <w:rsid w:val="00B361F3"/>
    <w:rsid w:val="00B373CD"/>
    <w:rsid w:val="00B601C7"/>
    <w:rsid w:val="00B74060"/>
    <w:rsid w:val="00B966AF"/>
    <w:rsid w:val="00B97C43"/>
    <w:rsid w:val="00BA6984"/>
    <w:rsid w:val="00BB3C2B"/>
    <w:rsid w:val="00BD0909"/>
    <w:rsid w:val="00BD0954"/>
    <w:rsid w:val="00BD1E44"/>
    <w:rsid w:val="00BD22D4"/>
    <w:rsid w:val="00BD7AA0"/>
    <w:rsid w:val="00BE3CB7"/>
    <w:rsid w:val="00BE7D13"/>
    <w:rsid w:val="00BF1A39"/>
    <w:rsid w:val="00C029D2"/>
    <w:rsid w:val="00C031D4"/>
    <w:rsid w:val="00C040DE"/>
    <w:rsid w:val="00C04D67"/>
    <w:rsid w:val="00C20B26"/>
    <w:rsid w:val="00C32184"/>
    <w:rsid w:val="00C3510F"/>
    <w:rsid w:val="00C35DE8"/>
    <w:rsid w:val="00C4569B"/>
    <w:rsid w:val="00C50A11"/>
    <w:rsid w:val="00C60D67"/>
    <w:rsid w:val="00C61E07"/>
    <w:rsid w:val="00C63850"/>
    <w:rsid w:val="00C66F3D"/>
    <w:rsid w:val="00C6730D"/>
    <w:rsid w:val="00C709F5"/>
    <w:rsid w:val="00C71064"/>
    <w:rsid w:val="00C71DAB"/>
    <w:rsid w:val="00C74A0E"/>
    <w:rsid w:val="00C8067F"/>
    <w:rsid w:val="00C87E1C"/>
    <w:rsid w:val="00C90367"/>
    <w:rsid w:val="00C91644"/>
    <w:rsid w:val="00C95BDD"/>
    <w:rsid w:val="00CB2197"/>
    <w:rsid w:val="00CB291E"/>
    <w:rsid w:val="00CB5353"/>
    <w:rsid w:val="00CC77F2"/>
    <w:rsid w:val="00CD27D3"/>
    <w:rsid w:val="00CD4ABA"/>
    <w:rsid w:val="00CD67DE"/>
    <w:rsid w:val="00CD707C"/>
    <w:rsid w:val="00CE00AD"/>
    <w:rsid w:val="00CE18B5"/>
    <w:rsid w:val="00CE2670"/>
    <w:rsid w:val="00CE3C67"/>
    <w:rsid w:val="00CE7471"/>
    <w:rsid w:val="00CF01F0"/>
    <w:rsid w:val="00CF2814"/>
    <w:rsid w:val="00CF4A00"/>
    <w:rsid w:val="00D01136"/>
    <w:rsid w:val="00D026EB"/>
    <w:rsid w:val="00D10BAB"/>
    <w:rsid w:val="00D16BCE"/>
    <w:rsid w:val="00D27DCF"/>
    <w:rsid w:val="00D33E54"/>
    <w:rsid w:val="00D342A3"/>
    <w:rsid w:val="00D4167A"/>
    <w:rsid w:val="00D431A4"/>
    <w:rsid w:val="00D4456E"/>
    <w:rsid w:val="00D517B7"/>
    <w:rsid w:val="00D61BBD"/>
    <w:rsid w:val="00D62353"/>
    <w:rsid w:val="00D62EFF"/>
    <w:rsid w:val="00D7627E"/>
    <w:rsid w:val="00D768DF"/>
    <w:rsid w:val="00D8615E"/>
    <w:rsid w:val="00D92BC2"/>
    <w:rsid w:val="00DA101D"/>
    <w:rsid w:val="00DA3BA7"/>
    <w:rsid w:val="00DA71BE"/>
    <w:rsid w:val="00DB0FC3"/>
    <w:rsid w:val="00DB4F54"/>
    <w:rsid w:val="00DB54D8"/>
    <w:rsid w:val="00DD114D"/>
    <w:rsid w:val="00DD122A"/>
    <w:rsid w:val="00DD45C4"/>
    <w:rsid w:val="00DD76D2"/>
    <w:rsid w:val="00DE554B"/>
    <w:rsid w:val="00DF5FA0"/>
    <w:rsid w:val="00E174C6"/>
    <w:rsid w:val="00E17614"/>
    <w:rsid w:val="00E17B6B"/>
    <w:rsid w:val="00E23682"/>
    <w:rsid w:val="00E23B45"/>
    <w:rsid w:val="00E37EE0"/>
    <w:rsid w:val="00E42AA6"/>
    <w:rsid w:val="00E4730B"/>
    <w:rsid w:val="00E606E8"/>
    <w:rsid w:val="00E614EE"/>
    <w:rsid w:val="00E73879"/>
    <w:rsid w:val="00E80352"/>
    <w:rsid w:val="00E8067A"/>
    <w:rsid w:val="00E8069B"/>
    <w:rsid w:val="00EB0FCD"/>
    <w:rsid w:val="00EB1CB9"/>
    <w:rsid w:val="00EB51D2"/>
    <w:rsid w:val="00EC35FA"/>
    <w:rsid w:val="00EC3EE0"/>
    <w:rsid w:val="00EC7CD7"/>
    <w:rsid w:val="00ED0244"/>
    <w:rsid w:val="00ED0306"/>
    <w:rsid w:val="00ED057E"/>
    <w:rsid w:val="00ED5C46"/>
    <w:rsid w:val="00ED5F16"/>
    <w:rsid w:val="00EE2E46"/>
    <w:rsid w:val="00EF08B8"/>
    <w:rsid w:val="00EF38E8"/>
    <w:rsid w:val="00EF489D"/>
    <w:rsid w:val="00EF7706"/>
    <w:rsid w:val="00EF79F2"/>
    <w:rsid w:val="00F01E2F"/>
    <w:rsid w:val="00F02BF6"/>
    <w:rsid w:val="00F15D0F"/>
    <w:rsid w:val="00F16DEF"/>
    <w:rsid w:val="00F25EC4"/>
    <w:rsid w:val="00F4044A"/>
    <w:rsid w:val="00F456C7"/>
    <w:rsid w:val="00F46236"/>
    <w:rsid w:val="00F46298"/>
    <w:rsid w:val="00F52BD9"/>
    <w:rsid w:val="00F53E72"/>
    <w:rsid w:val="00F64774"/>
    <w:rsid w:val="00F71412"/>
    <w:rsid w:val="00F73867"/>
    <w:rsid w:val="00F75CE6"/>
    <w:rsid w:val="00F818CA"/>
    <w:rsid w:val="00F855C6"/>
    <w:rsid w:val="00F87D74"/>
    <w:rsid w:val="00F91C9B"/>
    <w:rsid w:val="00F93CE9"/>
    <w:rsid w:val="00FA055E"/>
    <w:rsid w:val="00FC2D93"/>
    <w:rsid w:val="00FC2EFC"/>
    <w:rsid w:val="00FC51E8"/>
    <w:rsid w:val="00FD445C"/>
    <w:rsid w:val="00FE0535"/>
    <w:rsid w:val="00FE1E43"/>
    <w:rsid w:val="00FE2FB8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DA41"/>
  <w15:chartTrackingRefBased/>
  <w15:docId w15:val="{57FC3DF2-C75C-44E0-83B6-86A44319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B1"/>
  </w:style>
  <w:style w:type="character" w:styleId="Hyperlink">
    <w:name w:val="Hyperlink"/>
    <w:basedOn w:val="DefaultParagraphFont"/>
    <w:uiPriority w:val="99"/>
    <w:rsid w:val="009624B1"/>
  </w:style>
  <w:style w:type="paragraph" w:customStyle="1" w:styleId="Fotter">
    <w:name w:val="Fotter"/>
    <w:basedOn w:val="Normal"/>
    <w:uiPriority w:val="99"/>
    <w:rsid w:val="009624B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b/>
      <w:bCs/>
      <w:color w:val="4682B4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2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B1"/>
  </w:style>
  <w:style w:type="paragraph" w:styleId="ListParagraph">
    <w:name w:val="List Paragraph"/>
    <w:basedOn w:val="Normal"/>
    <w:uiPriority w:val="34"/>
    <w:qFormat/>
    <w:rsid w:val="00DD45C4"/>
    <w:pPr>
      <w:ind w:left="720"/>
      <w:contextualSpacing/>
    </w:pPr>
  </w:style>
  <w:style w:type="table" w:styleId="TableGrid">
    <w:name w:val="Table Grid"/>
    <w:basedOn w:val="TableNormal"/>
    <w:uiPriority w:val="59"/>
    <w:rsid w:val="0040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37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4EE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4EE"/>
    <w:rPr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EF38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04543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827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82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E00A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C32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14D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F52B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3D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3D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C6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3">
    <w:name w:val="Plain Table 3"/>
    <w:basedOn w:val="TableNormal"/>
    <w:uiPriority w:val="43"/>
    <w:rsid w:val="002C6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65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C6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2C6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9027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DF10-DED3-40CE-8040-86AC0C85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Vukcevic</dc:creator>
  <cp:keywords/>
  <dc:description/>
  <cp:lastModifiedBy>Stevan Vukcevic</cp:lastModifiedBy>
  <cp:revision>38</cp:revision>
  <cp:lastPrinted>2020-12-30T10:46:00Z</cp:lastPrinted>
  <dcterms:created xsi:type="dcterms:W3CDTF">2020-12-28T08:35:00Z</dcterms:created>
  <dcterms:modified xsi:type="dcterms:W3CDTF">2020-12-30T12:53:00Z</dcterms:modified>
</cp:coreProperties>
</file>